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before="0" w:after="0" w:line="360" w:lineRule="auto"/>
        <w:jc w:val="center"/>
        <w:rPr>
          <w:rFonts w:ascii="Times New Roman" w:hAnsi="Times New Roman" w:eastAsia="宋体"/>
          <w:bCs/>
          <w:sz w:val="36"/>
          <w:szCs w:val="36"/>
        </w:rPr>
      </w:pPr>
      <w:r>
        <w:rPr>
          <w:rFonts w:hint="eastAsia" w:ascii="Times New Roman" w:hAnsi="Times New Roman" w:eastAsia="宋体"/>
          <w:bCs/>
          <w:sz w:val="36"/>
          <w:szCs w:val="36"/>
        </w:rPr>
        <w:t xml:space="preserve"> </w:t>
      </w:r>
      <w:r>
        <w:rPr>
          <w:rFonts w:ascii="Times New Roman" w:hAnsi="Times New Roman" w:eastAsia="宋体"/>
          <w:bCs/>
          <w:sz w:val="36"/>
          <w:szCs w:val="36"/>
        </w:rPr>
        <w:t>202</w:t>
      </w:r>
      <w:r>
        <w:rPr>
          <w:rFonts w:hint="eastAsia" w:ascii="Times New Roman" w:hAnsi="Times New Roman" w:eastAsia="宋体"/>
          <w:bCs/>
          <w:sz w:val="36"/>
          <w:szCs w:val="36"/>
        </w:rPr>
        <w:t>2</w:t>
      </w:r>
      <w:r>
        <w:rPr>
          <w:rFonts w:ascii="Times New Roman" w:hAnsi="Times New Roman" w:eastAsia="宋体"/>
          <w:bCs/>
          <w:sz w:val="36"/>
          <w:szCs w:val="36"/>
        </w:rPr>
        <w:t>年度武汉经济技术开发区（汉南区）</w:t>
      </w:r>
    </w:p>
    <w:p>
      <w:pPr>
        <w:pStyle w:val="3"/>
        <w:spacing w:before="0" w:after="0" w:line="360" w:lineRule="auto"/>
        <w:jc w:val="center"/>
        <w:rPr>
          <w:rFonts w:ascii="Times New Roman" w:hAnsi="Times New Roman" w:eastAsia="宋体"/>
          <w:bCs/>
          <w:sz w:val="36"/>
          <w:szCs w:val="36"/>
        </w:rPr>
      </w:pPr>
      <w:r>
        <w:rPr>
          <w:rFonts w:ascii="Times New Roman" w:hAnsi="Times New Roman" w:eastAsia="宋体"/>
          <w:bCs/>
          <w:sz w:val="36"/>
          <w:szCs w:val="36"/>
        </w:rPr>
        <w:t>住房和</w:t>
      </w:r>
      <w:r>
        <w:rPr>
          <w:rFonts w:hint="eastAsia" w:ascii="Times New Roman" w:hAnsi="Times New Roman" w:eastAsia="宋体"/>
          <w:bCs/>
          <w:sz w:val="36"/>
          <w:szCs w:val="36"/>
          <w:lang w:val="en-US" w:eastAsia="zh-CN"/>
        </w:rPr>
        <w:t>城乡</w:t>
      </w:r>
      <w:r>
        <w:rPr>
          <w:rFonts w:ascii="Times New Roman" w:hAnsi="Times New Roman" w:eastAsia="宋体"/>
          <w:bCs/>
          <w:sz w:val="36"/>
          <w:szCs w:val="36"/>
        </w:rPr>
        <w:t>建设局部门整体绩效自评结果</w:t>
      </w:r>
    </w:p>
    <w:p>
      <w:pPr>
        <w:pStyle w:val="10"/>
        <w:shd w:val="clear" w:color="auto" w:fill="FFFFFF" w:themeFill="background1"/>
        <w:ind w:firstLine="0" w:firstLineChars="0"/>
        <w:jc w:val="center"/>
        <w:outlineLvl w:val="9"/>
      </w:pPr>
      <w:r>
        <w:rPr>
          <w:rFonts w:hint="eastAsia" w:ascii="楷体" w:hAnsi="楷体" w:eastAsia="楷体" w:cs="楷体"/>
          <w:b/>
          <w:sz w:val="32"/>
        </w:rPr>
        <w:t>（缩略版）</w:t>
      </w:r>
    </w:p>
    <w:p>
      <w:pPr>
        <w:widowControl/>
        <w:spacing w:line="360" w:lineRule="auto"/>
        <w:ind w:firstLine="640" w:firstLineChars="200"/>
        <w:outlineLvl w:val="0"/>
        <w:rPr>
          <w:kern w:val="0"/>
          <w:sz w:val="32"/>
          <w:szCs w:val="32"/>
        </w:rPr>
      </w:pPr>
      <w:r>
        <w:rPr>
          <w:rFonts w:eastAsia="黑体"/>
          <w:kern w:val="0"/>
          <w:sz w:val="32"/>
          <w:szCs w:val="32"/>
        </w:rPr>
        <w:t>一、自评结论</w:t>
      </w:r>
    </w:p>
    <w:p>
      <w:pPr>
        <w:widowControl/>
        <w:spacing w:line="360" w:lineRule="auto"/>
        <w:ind w:firstLine="643" w:firstLineChars="200"/>
        <w:jc w:val="left"/>
        <w:outlineLvl w:val="1"/>
        <w:rPr>
          <w:rFonts w:eastAsia="楷体"/>
          <w:b/>
          <w:bCs/>
          <w:kern w:val="0"/>
          <w:sz w:val="32"/>
          <w:szCs w:val="32"/>
        </w:rPr>
      </w:pPr>
      <w:r>
        <w:rPr>
          <w:rFonts w:eastAsia="楷体"/>
          <w:b/>
          <w:bCs/>
          <w:kern w:val="0"/>
          <w:sz w:val="32"/>
          <w:szCs w:val="32"/>
        </w:rPr>
        <w:t>（一）部门整体绩效自评得分</w:t>
      </w:r>
    </w:p>
    <w:p>
      <w:pPr>
        <w:keepNext/>
        <w:spacing w:line="360" w:lineRule="auto"/>
        <w:ind w:firstLine="640" w:firstLineChars="200"/>
        <w:rPr>
          <w:rFonts w:eastAsia="仿宋"/>
          <w:sz w:val="32"/>
          <w:szCs w:val="32"/>
        </w:rPr>
      </w:pPr>
      <w:r>
        <w:rPr>
          <w:rFonts w:eastAsia="仿宋"/>
          <w:sz w:val="32"/>
          <w:szCs w:val="32"/>
        </w:rPr>
        <w:t>202</w:t>
      </w:r>
      <w:r>
        <w:rPr>
          <w:rFonts w:hint="eastAsia" w:eastAsia="仿宋"/>
          <w:sz w:val="32"/>
          <w:szCs w:val="32"/>
        </w:rPr>
        <w:t>2</w:t>
      </w:r>
      <w:r>
        <w:rPr>
          <w:rFonts w:eastAsia="仿宋"/>
          <w:sz w:val="32"/>
          <w:szCs w:val="32"/>
        </w:rPr>
        <w:t>年度武汉经济技术开发区（汉南区）住房和</w:t>
      </w:r>
      <w:r>
        <w:rPr>
          <w:rFonts w:hint="eastAsia" w:eastAsia="仿宋"/>
          <w:sz w:val="32"/>
          <w:szCs w:val="32"/>
          <w:lang w:val="en-US" w:eastAsia="zh-CN"/>
        </w:rPr>
        <w:t>城乡</w:t>
      </w:r>
      <w:r>
        <w:rPr>
          <w:rFonts w:eastAsia="仿宋"/>
          <w:sz w:val="32"/>
          <w:szCs w:val="32"/>
        </w:rPr>
        <w:t>建设局</w:t>
      </w:r>
      <w:r>
        <w:rPr>
          <w:rFonts w:hint="eastAsia" w:eastAsia="仿宋"/>
          <w:sz w:val="32"/>
          <w:szCs w:val="32"/>
          <w:lang w:eastAsia="zh-CN"/>
        </w:rPr>
        <w:t>（</w:t>
      </w:r>
      <w:r>
        <w:rPr>
          <w:rFonts w:hint="eastAsia" w:eastAsia="仿宋"/>
          <w:sz w:val="32"/>
          <w:szCs w:val="32"/>
          <w:lang w:val="en-US" w:eastAsia="zh-CN"/>
        </w:rPr>
        <w:t>以下简称“区住建局”）</w:t>
      </w:r>
      <w:r>
        <w:rPr>
          <w:rFonts w:eastAsia="仿宋"/>
          <w:sz w:val="32"/>
          <w:szCs w:val="32"/>
        </w:rPr>
        <w:t>部门整体绩效</w:t>
      </w:r>
      <w:r>
        <w:rPr>
          <w:rFonts w:hint="eastAsia" w:eastAsia="仿宋"/>
          <w:sz w:val="32"/>
          <w:szCs w:val="32"/>
        </w:rPr>
        <w:t>自评</w:t>
      </w:r>
      <w:r>
        <w:rPr>
          <w:rFonts w:eastAsia="仿宋"/>
          <w:sz w:val="32"/>
          <w:szCs w:val="32"/>
        </w:rPr>
        <w:t>综合得分为</w:t>
      </w:r>
      <w:r>
        <w:rPr>
          <w:rFonts w:hint="eastAsia" w:eastAsia="仿宋"/>
          <w:sz w:val="32"/>
          <w:szCs w:val="32"/>
          <w:lang w:val="en-US" w:eastAsia="zh-CN"/>
        </w:rPr>
        <w:t>98.9</w:t>
      </w:r>
      <w:r>
        <w:rPr>
          <w:rFonts w:eastAsia="仿宋"/>
          <w:sz w:val="32"/>
          <w:szCs w:val="32"/>
        </w:rPr>
        <w:t>分。</w:t>
      </w:r>
    </w:p>
    <w:p>
      <w:pPr>
        <w:widowControl/>
        <w:spacing w:line="360" w:lineRule="auto"/>
        <w:ind w:firstLine="643" w:firstLineChars="200"/>
        <w:jc w:val="left"/>
        <w:outlineLvl w:val="1"/>
        <w:rPr>
          <w:rFonts w:eastAsia="楷体"/>
          <w:b/>
          <w:bCs/>
          <w:kern w:val="0"/>
          <w:sz w:val="32"/>
          <w:szCs w:val="32"/>
        </w:rPr>
      </w:pPr>
      <w:r>
        <w:rPr>
          <w:rFonts w:eastAsia="楷体"/>
          <w:b/>
          <w:bCs/>
          <w:kern w:val="0"/>
          <w:sz w:val="32"/>
          <w:szCs w:val="32"/>
        </w:rPr>
        <w:t>（二）部门整体绩效目标完成情况</w:t>
      </w:r>
    </w:p>
    <w:p>
      <w:pPr>
        <w:pStyle w:val="4"/>
        <w:spacing w:before="0" w:after="0" w:line="360" w:lineRule="auto"/>
        <w:ind w:firstLine="643" w:firstLineChars="200"/>
        <w:rPr>
          <w:rFonts w:ascii="仿宋" w:hAnsi="仿宋" w:eastAsia="仿宋" w:cs="仿宋"/>
        </w:rPr>
      </w:pPr>
      <w:r>
        <w:rPr>
          <w:rFonts w:hint="eastAsia" w:ascii="仿宋" w:hAnsi="仿宋" w:eastAsia="仿宋" w:cs="仿宋"/>
        </w:rPr>
        <w:t>1.执行率情况</w:t>
      </w:r>
    </w:p>
    <w:p>
      <w:pPr>
        <w:snapToGrid w:val="0"/>
        <w:spacing w:line="520" w:lineRule="exact"/>
        <w:ind w:firstLine="640" w:firstLineChars="200"/>
        <w:rPr>
          <w:rFonts w:eastAsia="仿宋"/>
          <w:sz w:val="32"/>
          <w:szCs w:val="32"/>
        </w:rPr>
      </w:pPr>
      <w:bookmarkStart w:id="0" w:name="_Hlk133066129"/>
      <w:r>
        <w:rPr>
          <w:rFonts w:hint="eastAsia" w:eastAsia="仿宋"/>
          <w:sz w:val="32"/>
          <w:szCs w:val="32"/>
        </w:rPr>
        <w:t>2022年度</w:t>
      </w:r>
      <w:r>
        <w:rPr>
          <w:rFonts w:hint="eastAsia" w:eastAsia="仿宋"/>
          <w:sz w:val="32"/>
          <w:szCs w:val="32"/>
          <w:lang w:val="en-US" w:eastAsia="zh-CN"/>
        </w:rPr>
        <w:t>区住建局</w:t>
      </w:r>
      <w:r>
        <w:rPr>
          <w:rFonts w:hint="eastAsia" w:eastAsia="仿宋"/>
          <w:sz w:val="32"/>
          <w:szCs w:val="32"/>
        </w:rPr>
        <w:t>部门预算总额为</w:t>
      </w:r>
      <w:r>
        <w:rPr>
          <w:rFonts w:hint="eastAsia" w:ascii="Times New Roman" w:hAnsi="Times New Roman" w:eastAsia="仿宋" w:cs="Times New Roman"/>
          <w:sz w:val="32"/>
          <w:szCs w:val="32"/>
        </w:rPr>
        <w:t>266</w:t>
      </w:r>
      <w:r>
        <w:rPr>
          <w:rFonts w:hint="eastAsia" w:ascii="Times New Roman" w:hAnsi="Times New Roman" w:eastAsia="仿宋" w:cs="Times New Roman"/>
          <w:sz w:val="32"/>
          <w:szCs w:val="32"/>
          <w:lang w:val="en-US" w:eastAsia="zh-CN"/>
        </w:rPr>
        <w:t>,</w:t>
      </w:r>
      <w:r>
        <w:rPr>
          <w:rFonts w:hint="eastAsia" w:ascii="Times New Roman" w:hAnsi="Times New Roman" w:eastAsia="仿宋" w:cs="Times New Roman"/>
          <w:sz w:val="32"/>
          <w:szCs w:val="32"/>
        </w:rPr>
        <w:t>959.31万元，支出决算数为265,568.66万元，其中：基本支出767.95万元，占本年支出0.28%；项目支出264,800.71万元，占本年支出99.72%。预算执行率99.48%。</w:t>
      </w:r>
    </w:p>
    <w:bookmarkEnd w:id="0"/>
    <w:p>
      <w:pPr>
        <w:pStyle w:val="4"/>
        <w:spacing w:before="0" w:after="0" w:line="360" w:lineRule="auto"/>
        <w:ind w:firstLine="643" w:firstLineChars="200"/>
        <w:rPr>
          <w:rFonts w:ascii="仿宋" w:hAnsi="仿宋" w:eastAsia="仿宋" w:cs="仿宋"/>
        </w:rPr>
      </w:pPr>
      <w:r>
        <w:rPr>
          <w:rFonts w:hint="eastAsia" w:ascii="仿宋" w:hAnsi="仿宋" w:eastAsia="仿宋" w:cs="仿宋"/>
        </w:rPr>
        <w:t>2.完成的绩效目标</w:t>
      </w:r>
    </w:p>
    <w:p>
      <w:pPr>
        <w:widowControl/>
        <w:spacing w:line="360" w:lineRule="auto"/>
        <w:ind w:firstLine="640" w:firstLineChars="200"/>
        <w:rPr>
          <w:rFonts w:eastAsia="仿宋"/>
          <w:sz w:val="32"/>
          <w:szCs w:val="32"/>
          <w:highlight w:val="none"/>
        </w:rPr>
      </w:pPr>
      <w:r>
        <w:rPr>
          <w:rFonts w:eastAsia="仿宋"/>
          <w:sz w:val="32"/>
          <w:szCs w:val="32"/>
          <w:highlight w:val="none"/>
        </w:rPr>
        <w:t>部门共设置2</w:t>
      </w:r>
      <w:r>
        <w:rPr>
          <w:rFonts w:hint="eastAsia" w:eastAsia="仿宋"/>
          <w:sz w:val="32"/>
          <w:szCs w:val="32"/>
          <w:highlight w:val="none"/>
          <w:lang w:val="en-US" w:eastAsia="zh-CN"/>
        </w:rPr>
        <w:t>1</w:t>
      </w:r>
      <w:r>
        <w:rPr>
          <w:rFonts w:eastAsia="仿宋"/>
          <w:sz w:val="32"/>
          <w:szCs w:val="32"/>
          <w:highlight w:val="none"/>
        </w:rPr>
        <w:t>个绩效指标，完成了</w:t>
      </w:r>
      <w:r>
        <w:rPr>
          <w:rFonts w:hint="eastAsia" w:eastAsia="仿宋"/>
          <w:sz w:val="32"/>
          <w:szCs w:val="32"/>
          <w:highlight w:val="none"/>
          <w:lang w:val="en-US" w:eastAsia="zh-CN"/>
        </w:rPr>
        <w:t>20</w:t>
      </w:r>
      <w:r>
        <w:rPr>
          <w:rFonts w:eastAsia="仿宋"/>
          <w:sz w:val="32"/>
          <w:szCs w:val="32"/>
          <w:highlight w:val="none"/>
        </w:rPr>
        <w:t>个。资金使用较为规范，部门产出较好，并取得了良好的社会效益。</w:t>
      </w:r>
    </w:p>
    <w:p>
      <w:pPr>
        <w:pStyle w:val="4"/>
        <w:spacing w:before="0" w:after="0" w:line="360" w:lineRule="auto"/>
        <w:ind w:firstLine="643" w:firstLineChars="200"/>
        <w:rPr>
          <w:rFonts w:ascii="仿宋" w:hAnsi="仿宋" w:eastAsia="仿宋" w:cs="仿宋"/>
        </w:rPr>
      </w:pPr>
      <w:r>
        <w:rPr>
          <w:rFonts w:hint="eastAsia" w:ascii="仿宋" w:hAnsi="仿宋" w:eastAsia="仿宋" w:cs="仿宋"/>
        </w:rPr>
        <w:t>3.未完成的绩效目标</w:t>
      </w:r>
    </w:p>
    <w:p>
      <w:pPr>
        <w:widowControl/>
        <w:spacing w:line="360" w:lineRule="auto"/>
        <w:ind w:firstLine="640" w:firstLineChars="200"/>
        <w:rPr>
          <w:rFonts w:hint="eastAsia" w:eastAsia="仿宋"/>
          <w:sz w:val="32"/>
          <w:szCs w:val="32"/>
          <w:lang w:val="en-US" w:eastAsia="zh-CN"/>
        </w:rPr>
      </w:pPr>
      <w:r>
        <w:rPr>
          <w:rFonts w:hint="eastAsia" w:eastAsia="仿宋"/>
          <w:sz w:val="32"/>
          <w:szCs w:val="32"/>
          <w:lang w:val="en-US" w:eastAsia="zh-CN"/>
        </w:rPr>
        <w:t>保</w:t>
      </w:r>
      <w:r>
        <w:rPr>
          <w:rFonts w:hint="eastAsia" w:eastAsia="仿宋"/>
          <w:sz w:val="32"/>
          <w:szCs w:val="32"/>
        </w:rPr>
        <w:t>租房保障机制落实率</w:t>
      </w:r>
      <w:r>
        <w:rPr>
          <w:rFonts w:hint="eastAsia" w:eastAsia="仿宋"/>
          <w:sz w:val="32"/>
          <w:szCs w:val="32"/>
          <w:lang w:val="en-US" w:eastAsia="zh-CN"/>
        </w:rPr>
        <w:t>100%，该指标尚未完成。</w:t>
      </w:r>
    </w:p>
    <w:p>
      <w:pPr>
        <w:widowControl/>
        <w:spacing w:line="360" w:lineRule="auto"/>
        <w:ind w:firstLine="640" w:firstLineChars="200"/>
        <w:rPr>
          <w:rFonts w:hint="default"/>
          <w:lang w:val="en-US"/>
        </w:rPr>
      </w:pPr>
      <w:r>
        <w:rPr>
          <w:rFonts w:hint="eastAsia" w:ascii="Times New Roman" w:hAnsi="Times New Roman" w:eastAsia="仿宋" w:cs="Times New Roman"/>
          <w:sz w:val="32"/>
          <w:szCs w:val="32"/>
          <w:highlight w:val="none"/>
          <w:lang w:val="en-US" w:eastAsia="zh-CN"/>
        </w:rPr>
        <w:t>为加快推进保障性租赁住房建设，用于加快解决从事基本公共服务人员、新市民及新青年住房困难问题，推动实现住有所居，2022年度，经开区暂未明确纳入公租房范围的项目，保租房模式处于探索阶段，有待进一步完善。</w:t>
      </w:r>
    </w:p>
    <w:p>
      <w:pPr>
        <w:widowControl/>
        <w:spacing w:line="360" w:lineRule="auto"/>
        <w:ind w:firstLine="643" w:firstLineChars="200"/>
        <w:jc w:val="left"/>
        <w:outlineLvl w:val="1"/>
        <w:rPr>
          <w:rFonts w:eastAsia="楷体"/>
          <w:b/>
          <w:bCs/>
          <w:kern w:val="0"/>
          <w:sz w:val="32"/>
          <w:szCs w:val="32"/>
        </w:rPr>
      </w:pPr>
      <w:r>
        <w:rPr>
          <w:rFonts w:eastAsia="楷体"/>
          <w:b/>
          <w:bCs/>
          <w:kern w:val="0"/>
          <w:sz w:val="32"/>
          <w:szCs w:val="32"/>
        </w:rPr>
        <w:t>（三）存在的问题和原因</w:t>
      </w:r>
    </w:p>
    <w:p>
      <w:pPr>
        <w:pStyle w:val="4"/>
        <w:spacing w:before="0" w:after="0" w:line="360" w:lineRule="auto"/>
        <w:ind w:firstLine="643" w:firstLineChars="200"/>
        <w:rPr>
          <w:rFonts w:ascii="仿宋" w:hAnsi="仿宋" w:eastAsia="仿宋" w:cs="仿宋"/>
        </w:rPr>
      </w:pPr>
      <w:r>
        <w:rPr>
          <w:rFonts w:hint="eastAsia" w:ascii="仿宋" w:hAnsi="仿宋" w:eastAsia="仿宋" w:cs="仿宋"/>
        </w:rPr>
        <w:t>1.上年度绩效评价结果应用情况</w:t>
      </w:r>
    </w:p>
    <w:p>
      <w:pPr>
        <w:keepNext/>
        <w:spacing w:line="360" w:lineRule="auto"/>
        <w:ind w:firstLine="640" w:firstLineChars="200"/>
        <w:rPr>
          <w:rFonts w:eastAsia="仿宋"/>
          <w:sz w:val="32"/>
          <w:szCs w:val="32"/>
        </w:rPr>
      </w:pPr>
      <w:r>
        <w:rPr>
          <w:rFonts w:hint="eastAsia" w:eastAsia="仿宋"/>
          <w:sz w:val="32"/>
          <w:szCs w:val="32"/>
          <w:lang w:val="en-US" w:eastAsia="zh-CN"/>
        </w:rPr>
        <w:t>区住建局</w:t>
      </w:r>
      <w:r>
        <w:rPr>
          <w:rFonts w:hint="eastAsia" w:eastAsia="仿宋"/>
          <w:sz w:val="32"/>
          <w:szCs w:val="32"/>
        </w:rPr>
        <w:t>上年度实施了部门整体绩效自评并形成了部门整体自评表及部门整体自评报告，本年度较好地应用了上年度绩效自评结果。一是在上年评价的基础上优化了绩效评价指标体系，如根据部门职责和工作重点调整了绩效评价中的数量指标，如将“</w:t>
      </w:r>
      <w:r>
        <w:rPr>
          <w:rFonts w:hint="eastAsia" w:eastAsia="仿宋"/>
          <w:sz w:val="32"/>
          <w:szCs w:val="32"/>
          <w:lang w:val="en-US" w:eastAsia="zh-CN"/>
        </w:rPr>
        <w:t>项目评估工作完成率</w:t>
      </w:r>
      <w:r>
        <w:rPr>
          <w:rFonts w:hint="eastAsia" w:eastAsia="仿宋"/>
          <w:sz w:val="32"/>
          <w:szCs w:val="32"/>
        </w:rPr>
        <w:t>”调整为</w:t>
      </w:r>
      <w:r>
        <w:rPr>
          <w:rFonts w:hint="eastAsia" w:eastAsia="仿宋"/>
          <w:sz w:val="32"/>
          <w:szCs w:val="32"/>
          <w:lang w:eastAsia="zh-CN"/>
        </w:rPr>
        <w:t>“</w:t>
      </w:r>
      <w:r>
        <w:rPr>
          <w:rFonts w:hint="eastAsia" w:eastAsia="仿宋"/>
          <w:sz w:val="32"/>
          <w:szCs w:val="32"/>
          <w:lang w:val="en-US" w:eastAsia="zh-CN"/>
        </w:rPr>
        <w:t>海绵城市建设进度</w:t>
      </w:r>
      <w:r>
        <w:rPr>
          <w:rFonts w:hint="eastAsia" w:eastAsia="仿宋"/>
          <w:sz w:val="32"/>
          <w:szCs w:val="32"/>
          <w:lang w:eastAsia="zh-CN"/>
        </w:rPr>
        <w:t>”</w:t>
      </w:r>
      <w:r>
        <w:rPr>
          <w:rFonts w:hint="eastAsia" w:eastAsia="仿宋"/>
          <w:sz w:val="32"/>
          <w:szCs w:val="32"/>
        </w:rPr>
        <w:t>，使得绩效评价指标体系与工作重点紧密结合，有效督促各项重点工作保质保量按时完成，实现绩效管理工作目标；二是将上年度定性指标加以修正，提升了绩效指标的科学性和合理性，如使得指标考核更符合工作要求。</w:t>
      </w:r>
    </w:p>
    <w:p>
      <w:pPr>
        <w:pStyle w:val="4"/>
        <w:spacing w:before="0" w:after="0" w:line="360" w:lineRule="auto"/>
        <w:ind w:firstLine="643" w:firstLineChars="200"/>
        <w:rPr>
          <w:rFonts w:ascii="仿宋" w:hAnsi="仿宋" w:eastAsia="仿宋" w:cs="仿宋"/>
        </w:rPr>
      </w:pPr>
      <w:r>
        <w:rPr>
          <w:rFonts w:hint="eastAsia" w:ascii="仿宋" w:hAnsi="仿宋" w:eastAsia="仿宋" w:cs="仿宋"/>
        </w:rPr>
        <w:t>2.本年度绩效存在的问题和原因</w:t>
      </w:r>
    </w:p>
    <w:p>
      <w:pPr>
        <w:widowControl/>
        <w:spacing w:line="360" w:lineRule="auto"/>
        <w:ind w:firstLine="640" w:firstLineChars="200"/>
        <w:rPr>
          <w:rFonts w:eastAsia="仿宋"/>
          <w:sz w:val="32"/>
          <w:szCs w:val="32"/>
        </w:rPr>
      </w:pPr>
      <w:r>
        <w:rPr>
          <w:rFonts w:eastAsia="仿宋"/>
          <w:sz w:val="32"/>
          <w:szCs w:val="32"/>
        </w:rPr>
        <w:t>（1）</w:t>
      </w:r>
      <w:r>
        <w:rPr>
          <w:rFonts w:hint="eastAsia" w:eastAsia="仿宋"/>
          <w:sz w:val="32"/>
          <w:szCs w:val="32"/>
        </w:rPr>
        <w:t>绩效指标编制不科学。一是年初指标值设置不合理</w:t>
      </w:r>
      <w:r>
        <w:rPr>
          <w:rFonts w:eastAsia="仿宋"/>
          <w:sz w:val="32"/>
          <w:szCs w:val="32"/>
        </w:rPr>
        <w:t>。</w:t>
      </w:r>
    </w:p>
    <w:p>
      <w:pPr>
        <w:widowControl/>
        <w:spacing w:line="360" w:lineRule="auto"/>
        <w:rPr>
          <w:rFonts w:hint="eastAsia" w:eastAsia="仿宋"/>
          <w:sz w:val="32"/>
          <w:szCs w:val="32"/>
        </w:rPr>
      </w:pPr>
      <w:r>
        <w:rPr>
          <w:rFonts w:hint="eastAsia" w:eastAsia="仿宋"/>
          <w:sz w:val="32"/>
          <w:szCs w:val="32"/>
          <w:lang w:val="en-US" w:eastAsia="zh-CN"/>
        </w:rPr>
        <w:t>如</w:t>
      </w:r>
      <w:r>
        <w:rPr>
          <w:rFonts w:hint="eastAsia" w:eastAsia="仿宋"/>
          <w:sz w:val="32"/>
          <w:szCs w:val="32"/>
        </w:rPr>
        <w:t>“</w:t>
      </w:r>
      <w:r>
        <w:rPr>
          <w:rFonts w:hint="eastAsia" w:eastAsia="仿宋"/>
          <w:sz w:val="32"/>
          <w:szCs w:val="32"/>
          <w:lang w:val="en-US" w:eastAsia="zh-CN"/>
        </w:rPr>
        <w:t>工程监督抽查到位率</w:t>
      </w:r>
      <w:r>
        <w:rPr>
          <w:rFonts w:hint="eastAsia" w:eastAsia="仿宋"/>
          <w:sz w:val="32"/>
          <w:szCs w:val="32"/>
        </w:rPr>
        <w:t>”年初指标值为</w:t>
      </w:r>
      <w:r>
        <w:rPr>
          <w:rFonts w:hint="eastAsia" w:eastAsia="仿宋"/>
          <w:sz w:val="32"/>
          <w:szCs w:val="32"/>
          <w:lang w:val="en-US" w:eastAsia="zh-CN"/>
        </w:rPr>
        <w:t>100</w:t>
      </w:r>
      <w:r>
        <w:rPr>
          <w:rFonts w:hint="eastAsia" w:eastAsia="仿宋"/>
          <w:sz w:val="32"/>
          <w:szCs w:val="32"/>
        </w:rPr>
        <w:t>%，</w:t>
      </w:r>
      <w:r>
        <w:rPr>
          <w:rFonts w:hint="eastAsia" w:eastAsia="仿宋"/>
          <w:sz w:val="32"/>
          <w:szCs w:val="32"/>
          <w:lang w:val="en-US" w:eastAsia="zh-CN"/>
        </w:rPr>
        <w:t>项目监督采用抽查方式，但考核指标要求为100%，因此，将该指标调整为重点工程监督抽查率100%</w:t>
      </w:r>
      <w:r>
        <w:rPr>
          <w:rFonts w:hint="eastAsia" w:eastAsia="仿宋"/>
          <w:sz w:val="32"/>
          <w:szCs w:val="32"/>
        </w:rPr>
        <w:t>；</w:t>
      </w:r>
      <w:r>
        <w:rPr>
          <w:rFonts w:hint="eastAsia" w:eastAsia="仿宋"/>
          <w:sz w:val="32"/>
          <w:szCs w:val="32"/>
          <w:lang w:eastAsia="zh-CN"/>
        </w:rPr>
        <w:t>“</w:t>
      </w:r>
      <w:r>
        <w:rPr>
          <w:rFonts w:hint="eastAsia" w:eastAsia="仿宋"/>
          <w:sz w:val="32"/>
          <w:szCs w:val="32"/>
          <w:lang w:val="en-US" w:eastAsia="zh-CN"/>
        </w:rPr>
        <w:t>施工图审查提升度</w:t>
      </w:r>
      <w:r>
        <w:rPr>
          <w:rFonts w:hint="eastAsia" w:eastAsia="仿宋"/>
          <w:sz w:val="32"/>
          <w:szCs w:val="32"/>
        </w:rPr>
        <w:t>”</w:t>
      </w:r>
      <w:r>
        <w:rPr>
          <w:rFonts w:hint="eastAsia" w:eastAsia="仿宋"/>
          <w:sz w:val="32"/>
          <w:szCs w:val="32"/>
          <w:lang w:eastAsia="zh-CN"/>
        </w:rPr>
        <w:t>，</w:t>
      </w:r>
      <w:r>
        <w:rPr>
          <w:rFonts w:hint="eastAsia" w:eastAsia="仿宋"/>
          <w:sz w:val="32"/>
          <w:szCs w:val="32"/>
          <w:lang w:val="en-US" w:eastAsia="zh-CN"/>
        </w:rPr>
        <w:t>该指标可通过目前图审所需时间比以前同类项目图审所需时间节约了多少天数来量化考核，因此将非量化指标“提升度”调整为量化指标“缩减率”</w:t>
      </w:r>
      <w:r>
        <w:rPr>
          <w:rFonts w:hint="eastAsia" w:eastAsia="仿宋"/>
          <w:sz w:val="32"/>
          <w:szCs w:val="32"/>
        </w:rPr>
        <w:t>。</w:t>
      </w:r>
    </w:p>
    <w:p>
      <w:pPr>
        <w:widowControl/>
        <w:spacing w:line="360" w:lineRule="auto"/>
        <w:ind w:firstLine="643" w:firstLineChars="200"/>
        <w:jc w:val="left"/>
        <w:outlineLvl w:val="1"/>
        <w:rPr>
          <w:rFonts w:eastAsia="楷体"/>
          <w:b/>
          <w:bCs/>
          <w:kern w:val="0"/>
          <w:sz w:val="32"/>
          <w:szCs w:val="32"/>
        </w:rPr>
      </w:pPr>
      <w:r>
        <w:rPr>
          <w:rFonts w:eastAsia="楷体"/>
          <w:b/>
          <w:bCs/>
          <w:kern w:val="0"/>
          <w:sz w:val="32"/>
          <w:szCs w:val="32"/>
        </w:rPr>
        <w:t>（四）下一步拟改进措施</w:t>
      </w:r>
    </w:p>
    <w:p>
      <w:pPr>
        <w:pStyle w:val="4"/>
        <w:spacing w:before="0" w:after="0" w:line="360" w:lineRule="auto"/>
        <w:ind w:firstLine="643" w:firstLineChars="200"/>
        <w:rPr>
          <w:rFonts w:ascii="仿宋" w:hAnsi="仿宋" w:eastAsia="仿宋" w:cs="仿宋"/>
        </w:rPr>
      </w:pPr>
      <w:r>
        <w:rPr>
          <w:rFonts w:hint="eastAsia" w:ascii="仿宋" w:hAnsi="仿宋" w:eastAsia="仿宋" w:cs="仿宋"/>
        </w:rPr>
        <w:t>1.下一步拟改进措施</w:t>
      </w:r>
    </w:p>
    <w:p>
      <w:pPr>
        <w:widowControl/>
        <w:spacing w:line="360" w:lineRule="auto"/>
        <w:ind w:firstLine="640" w:firstLineChars="200"/>
        <w:rPr>
          <w:rFonts w:eastAsia="仿宋"/>
          <w:sz w:val="32"/>
          <w:szCs w:val="32"/>
        </w:rPr>
      </w:pPr>
      <w:r>
        <w:rPr>
          <w:rFonts w:hint="eastAsia" w:eastAsia="仿宋"/>
          <w:sz w:val="32"/>
          <w:szCs w:val="32"/>
        </w:rPr>
        <w:t>（1）科学合理编制绩效评价指标体系</w:t>
      </w:r>
      <w:r>
        <w:rPr>
          <w:rFonts w:eastAsia="仿宋"/>
          <w:sz w:val="32"/>
          <w:szCs w:val="32"/>
        </w:rPr>
        <w:t>。在</w:t>
      </w:r>
      <w:r>
        <w:rPr>
          <w:rFonts w:hint="eastAsia" w:eastAsia="仿宋"/>
          <w:sz w:val="32"/>
          <w:szCs w:val="32"/>
        </w:rPr>
        <w:t>设计指标体系</w:t>
      </w:r>
      <w:r>
        <w:rPr>
          <w:rFonts w:eastAsia="仿宋"/>
          <w:sz w:val="32"/>
          <w:szCs w:val="32"/>
        </w:rPr>
        <w:t>时，</w:t>
      </w:r>
      <w:r>
        <w:rPr>
          <w:rFonts w:hint="eastAsia" w:eastAsia="仿宋"/>
          <w:sz w:val="32"/>
          <w:szCs w:val="32"/>
        </w:rPr>
        <w:t>绩效目标考核的重点应与</w:t>
      </w:r>
      <w:r>
        <w:rPr>
          <w:rFonts w:eastAsia="仿宋"/>
          <w:sz w:val="32"/>
          <w:szCs w:val="32"/>
        </w:rPr>
        <w:t>年度工作</w:t>
      </w:r>
      <w:r>
        <w:rPr>
          <w:rFonts w:hint="eastAsia" w:eastAsia="仿宋"/>
          <w:sz w:val="32"/>
          <w:szCs w:val="32"/>
        </w:rPr>
        <w:t>重点任务结合；属于年度工作的项目应科学合理地设置年初指标值，属于连续性实施的项目应设置阶段性考核指标；在考核指标中设计中，要确保目标值</w:t>
      </w:r>
      <w:r>
        <w:rPr>
          <w:rFonts w:eastAsia="仿宋"/>
          <w:sz w:val="32"/>
          <w:szCs w:val="32"/>
        </w:rPr>
        <w:t>与资金规模及资金方向、效果相匹配。</w:t>
      </w:r>
    </w:p>
    <w:p>
      <w:pPr>
        <w:pStyle w:val="4"/>
        <w:spacing w:before="0" w:after="0" w:line="360" w:lineRule="auto"/>
        <w:ind w:firstLine="643" w:firstLineChars="200"/>
        <w:rPr>
          <w:rFonts w:ascii="仿宋" w:hAnsi="仿宋" w:eastAsia="仿宋" w:cs="仿宋"/>
        </w:rPr>
      </w:pPr>
      <w:r>
        <w:rPr>
          <w:rFonts w:hint="eastAsia" w:ascii="仿宋" w:hAnsi="仿宋" w:eastAsia="仿宋" w:cs="仿宋"/>
        </w:rPr>
        <w:t>2.拟与预算安排相结合情况</w:t>
      </w:r>
    </w:p>
    <w:p>
      <w:pPr>
        <w:keepNext/>
        <w:spacing w:line="360" w:lineRule="auto"/>
        <w:ind w:firstLine="640" w:firstLineChars="200"/>
        <w:rPr>
          <w:rFonts w:eastAsia="仿宋"/>
          <w:sz w:val="32"/>
          <w:szCs w:val="32"/>
        </w:rPr>
      </w:pPr>
      <w:r>
        <w:rPr>
          <w:rFonts w:hint="eastAsia" w:eastAsia="仿宋"/>
          <w:sz w:val="32"/>
          <w:szCs w:val="32"/>
        </w:rPr>
        <w:t>鉴于本次部门整体绩效自评发现的问题，拟在下年度预算安排中采取以下措施：一是提高预算编制的科学性和合理性，加强预算编制的前瞻性，按照《预算法》及其实施条例的相关规定，结合本年度预算执行和调整情况、下年度预算收支变化因素及项目支出进度，科学、合理地编制下年度预算草案，避免预算支出与实际执行出现较大偏差的情况，同时加强202</w:t>
      </w:r>
      <w:r>
        <w:rPr>
          <w:rFonts w:hint="eastAsia" w:eastAsia="仿宋"/>
          <w:sz w:val="32"/>
          <w:szCs w:val="32"/>
          <w:lang w:val="en-US" w:eastAsia="zh-CN"/>
        </w:rPr>
        <w:t>3</w:t>
      </w:r>
      <w:r>
        <w:rPr>
          <w:rFonts w:hint="eastAsia" w:eastAsia="仿宋"/>
          <w:sz w:val="32"/>
          <w:szCs w:val="32"/>
        </w:rPr>
        <w:t>年度部门预算执行进度和绩效执行监控并及时纠偏；二是结合部门职责、上级部门下达任务目标及预算资金重点支出方向全面、合理设置年度绩效目标，有针对性地设置考核指标及目标值，便于考核工作成果；三是加强项目进度管理，尤其是推动各项规划设计项目落地建设，并保障项目进度，从而提升项目预算资金使用效率</w:t>
      </w:r>
      <w:r>
        <w:rPr>
          <w:rFonts w:eastAsia="仿宋"/>
          <w:sz w:val="32"/>
          <w:szCs w:val="32"/>
        </w:rPr>
        <w:t>。</w:t>
      </w:r>
    </w:p>
    <w:p>
      <w:pPr>
        <w:keepNext/>
        <w:spacing w:line="360" w:lineRule="auto"/>
        <w:ind w:firstLine="640" w:firstLineChars="200"/>
        <w:jc w:val="left"/>
        <w:rPr>
          <w:rFonts w:eastAsia="楷体"/>
          <w:sz w:val="32"/>
          <w:szCs w:val="32"/>
        </w:rPr>
        <w:sectPr>
          <w:footerReference r:id="rId3" w:type="default"/>
          <w:pgSz w:w="11906" w:h="16838"/>
          <w:pgMar w:top="2098" w:right="1474" w:bottom="1984" w:left="1587" w:header="851" w:footer="992" w:gutter="0"/>
          <w:cols w:space="425" w:num="1"/>
          <w:docGrid w:type="lines" w:linePitch="312" w:charSpace="0"/>
        </w:sectPr>
      </w:pPr>
      <w:r>
        <w:rPr>
          <w:rFonts w:eastAsia="楷体"/>
          <w:sz w:val="32"/>
          <w:szCs w:val="32"/>
        </w:rPr>
        <w:t>附件：202</w:t>
      </w:r>
      <w:r>
        <w:rPr>
          <w:rFonts w:hint="eastAsia" w:eastAsia="楷体"/>
          <w:sz w:val="32"/>
          <w:szCs w:val="32"/>
        </w:rPr>
        <w:t>2</w:t>
      </w:r>
      <w:r>
        <w:rPr>
          <w:rFonts w:eastAsia="楷体"/>
          <w:sz w:val="32"/>
          <w:szCs w:val="32"/>
        </w:rPr>
        <w:t>年度武汉经济技术开发区（汉南区）住房和建设局部门整体自评表</w:t>
      </w:r>
    </w:p>
    <w:p>
      <w:pPr>
        <w:keepNext/>
        <w:spacing w:line="560" w:lineRule="exact"/>
        <w:jc w:val="left"/>
        <w:rPr>
          <w:rFonts w:eastAsia="楷体"/>
          <w:b/>
          <w:bCs/>
          <w:sz w:val="32"/>
          <w:szCs w:val="32"/>
        </w:rPr>
      </w:pPr>
      <w:r>
        <w:rPr>
          <w:rFonts w:eastAsia="楷体"/>
          <w:b/>
          <w:bCs/>
          <w:sz w:val="32"/>
          <w:szCs w:val="32"/>
        </w:rPr>
        <w:t>附件：</w:t>
      </w:r>
    </w:p>
    <w:tbl>
      <w:tblPr>
        <w:tblStyle w:val="12"/>
        <w:tblW w:w="5001" w:type="pct"/>
        <w:tblInd w:w="0" w:type="dxa"/>
        <w:tblLayout w:type="fixed"/>
        <w:tblCellMar>
          <w:top w:w="0" w:type="dxa"/>
          <w:left w:w="108" w:type="dxa"/>
          <w:bottom w:w="0" w:type="dxa"/>
          <w:right w:w="108" w:type="dxa"/>
        </w:tblCellMar>
      </w:tblPr>
      <w:tblGrid>
        <w:gridCol w:w="581"/>
        <w:gridCol w:w="1165"/>
        <w:gridCol w:w="1431"/>
        <w:gridCol w:w="1841"/>
        <w:gridCol w:w="1067"/>
        <w:gridCol w:w="172"/>
        <w:gridCol w:w="1045"/>
        <w:gridCol w:w="201"/>
        <w:gridCol w:w="1021"/>
      </w:tblGrid>
      <w:tr>
        <w:tblPrEx>
          <w:tblCellMar>
            <w:top w:w="0" w:type="dxa"/>
            <w:left w:w="108" w:type="dxa"/>
            <w:bottom w:w="0" w:type="dxa"/>
            <w:right w:w="108" w:type="dxa"/>
          </w:tblCellMar>
        </w:tblPrEx>
        <w:trPr>
          <w:trHeight w:val="600" w:hRule="atLeast"/>
        </w:trPr>
        <w:tc>
          <w:tcPr>
            <w:tcW w:w="5000" w:type="pct"/>
            <w:gridSpan w:val="9"/>
            <w:tcBorders>
              <w:top w:val="nil"/>
              <w:left w:val="nil"/>
              <w:bottom w:val="nil"/>
              <w:right w:val="nil"/>
            </w:tcBorders>
            <w:shd w:val="clear" w:color="auto" w:fill="auto"/>
            <w:vAlign w:val="center"/>
          </w:tcPr>
          <w:p>
            <w:pPr>
              <w:widowControl/>
              <w:jc w:val="center"/>
              <w:rPr>
                <w:rFonts w:ascii="仿宋" w:hAnsi="仿宋" w:eastAsia="仿宋" w:cs="宋体"/>
                <w:b/>
                <w:bCs/>
                <w:kern w:val="0"/>
                <w:sz w:val="32"/>
                <w:szCs w:val="32"/>
              </w:rPr>
            </w:pPr>
            <w:r>
              <w:rPr>
                <w:rFonts w:hint="eastAsia" w:ascii="仿宋" w:hAnsi="仿宋" w:eastAsia="仿宋" w:cs="宋体"/>
                <w:b/>
                <w:bCs/>
                <w:kern w:val="0"/>
                <w:sz w:val="32"/>
                <w:szCs w:val="32"/>
              </w:rPr>
              <w:t xml:space="preserve">2022年度武汉经济技术开发区（汉南区）住房和建设局部门整体绩效自评表 </w:t>
            </w:r>
          </w:p>
        </w:tc>
      </w:tr>
      <w:tr>
        <w:tblPrEx>
          <w:tblCellMar>
            <w:top w:w="0" w:type="dxa"/>
            <w:left w:w="108" w:type="dxa"/>
            <w:bottom w:w="0" w:type="dxa"/>
            <w:right w:w="108" w:type="dxa"/>
          </w:tblCellMar>
        </w:tblPrEx>
        <w:trPr>
          <w:trHeight w:val="432" w:hRule="atLeast"/>
        </w:trPr>
        <w:tc>
          <w:tcPr>
            <w:tcW w:w="5000" w:type="pct"/>
            <w:gridSpan w:val="9"/>
            <w:tcBorders>
              <w:top w:val="nil"/>
              <w:left w:val="nil"/>
              <w:bottom w:val="nil"/>
              <w:right w:val="nil"/>
            </w:tcBorders>
            <w:shd w:val="clear" w:color="auto" w:fill="auto"/>
            <w:vAlign w:val="center"/>
          </w:tcPr>
          <w:p>
            <w:pPr>
              <w:widowControl/>
              <w:jc w:val="left"/>
              <w:rPr>
                <w:rFonts w:ascii="仿宋" w:hAnsi="仿宋" w:eastAsia="仿宋" w:cs="宋体"/>
                <w:kern w:val="0"/>
                <w:sz w:val="22"/>
                <w:szCs w:val="22"/>
              </w:rPr>
            </w:pPr>
            <w:r>
              <w:rPr>
                <w:rFonts w:hint="eastAsia" w:ascii="仿宋" w:hAnsi="仿宋" w:eastAsia="仿宋" w:cs="宋体"/>
                <w:kern w:val="0"/>
                <w:sz w:val="22"/>
                <w:szCs w:val="22"/>
              </w:rPr>
              <w:t>单位名称： 武汉经济技术开发区（汉南区）住房和建设局                                      填报日期：2023年4月20日</w:t>
            </w:r>
          </w:p>
        </w:tc>
      </w:tr>
      <w:tr>
        <w:tblPrEx>
          <w:tblCellMar>
            <w:top w:w="0" w:type="dxa"/>
            <w:left w:w="108" w:type="dxa"/>
            <w:bottom w:w="0" w:type="dxa"/>
            <w:right w:w="108" w:type="dxa"/>
          </w:tblCellMar>
        </w:tblPrEx>
        <w:trPr>
          <w:trHeight w:val="420" w:hRule="atLeast"/>
        </w:trPr>
        <w:tc>
          <w:tcPr>
            <w:tcW w:w="102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单位名称</w:t>
            </w:r>
          </w:p>
        </w:tc>
        <w:tc>
          <w:tcPr>
            <w:tcW w:w="3975" w:type="pct"/>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武汉经济技术开发区（汉南区）住房和建设局</w:t>
            </w:r>
          </w:p>
        </w:tc>
      </w:tr>
      <w:tr>
        <w:tblPrEx>
          <w:tblCellMar>
            <w:top w:w="0" w:type="dxa"/>
            <w:left w:w="108" w:type="dxa"/>
            <w:bottom w:w="0" w:type="dxa"/>
            <w:right w:w="108" w:type="dxa"/>
          </w:tblCellMar>
        </w:tblPrEx>
        <w:trPr>
          <w:trHeight w:val="559" w:hRule="atLeast"/>
        </w:trPr>
        <w:tc>
          <w:tcPr>
            <w:tcW w:w="102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基本支出</w:t>
            </w:r>
          </w:p>
          <w:p>
            <w:pPr>
              <w:widowControl/>
              <w:jc w:val="center"/>
              <w:rPr>
                <w:rFonts w:ascii="仿宋" w:hAnsi="仿宋" w:eastAsia="仿宋" w:cs="宋体"/>
                <w:kern w:val="0"/>
                <w:sz w:val="20"/>
                <w:szCs w:val="20"/>
              </w:rPr>
            </w:pPr>
            <w:r>
              <w:rPr>
                <w:rFonts w:hint="eastAsia" w:ascii="仿宋" w:hAnsi="仿宋" w:eastAsia="仿宋" w:cs="宋体"/>
                <w:kern w:val="0"/>
                <w:sz w:val="20"/>
                <w:szCs w:val="20"/>
              </w:rPr>
              <w:t>总额</w:t>
            </w:r>
          </w:p>
        </w:tc>
        <w:tc>
          <w:tcPr>
            <w:tcW w:w="1919"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767.95</w:t>
            </w:r>
          </w:p>
        </w:tc>
        <w:tc>
          <w:tcPr>
            <w:tcW w:w="726" w:type="pct"/>
            <w:gridSpan w:val="2"/>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项目支出</w:t>
            </w:r>
          </w:p>
          <w:p>
            <w:pPr>
              <w:widowControl/>
              <w:jc w:val="center"/>
              <w:rPr>
                <w:rFonts w:ascii="仿宋" w:hAnsi="仿宋" w:eastAsia="仿宋" w:cs="宋体"/>
                <w:kern w:val="0"/>
                <w:sz w:val="20"/>
                <w:szCs w:val="20"/>
              </w:rPr>
            </w:pPr>
            <w:r>
              <w:rPr>
                <w:rFonts w:hint="eastAsia" w:ascii="仿宋" w:hAnsi="仿宋" w:eastAsia="仿宋" w:cs="宋体"/>
                <w:kern w:val="0"/>
                <w:sz w:val="20"/>
                <w:szCs w:val="20"/>
              </w:rPr>
              <w:t>总额</w:t>
            </w:r>
          </w:p>
        </w:tc>
        <w:tc>
          <w:tcPr>
            <w:tcW w:w="1329" w:type="pct"/>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264</w:t>
            </w:r>
            <w:r>
              <w:rPr>
                <w:rFonts w:ascii="仿宋" w:hAnsi="仿宋" w:eastAsia="仿宋" w:cs="宋体"/>
                <w:kern w:val="0"/>
                <w:sz w:val="20"/>
                <w:szCs w:val="20"/>
              </w:rPr>
              <w:t>,</w:t>
            </w:r>
            <w:r>
              <w:rPr>
                <w:rFonts w:hint="eastAsia" w:ascii="仿宋" w:hAnsi="仿宋" w:eastAsia="仿宋" w:cs="宋体"/>
                <w:kern w:val="0"/>
                <w:sz w:val="20"/>
                <w:szCs w:val="20"/>
              </w:rPr>
              <w:t>800.71</w:t>
            </w:r>
          </w:p>
        </w:tc>
      </w:tr>
      <w:tr>
        <w:tblPrEx>
          <w:tblCellMar>
            <w:top w:w="0" w:type="dxa"/>
            <w:left w:w="108" w:type="dxa"/>
            <w:bottom w:w="0" w:type="dxa"/>
            <w:right w:w="108" w:type="dxa"/>
          </w:tblCellMar>
        </w:tblPrEx>
        <w:trPr>
          <w:trHeight w:val="480" w:hRule="atLeast"/>
        </w:trPr>
        <w:tc>
          <w:tcPr>
            <w:tcW w:w="1024"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lang w:eastAsia="zh-CN"/>
              </w:rPr>
            </w:pPr>
            <w:r>
              <w:rPr>
                <w:rFonts w:hint="eastAsia" w:ascii="仿宋" w:hAnsi="仿宋" w:eastAsia="仿宋" w:cs="宋体"/>
                <w:kern w:val="0"/>
                <w:sz w:val="20"/>
                <w:szCs w:val="20"/>
              </w:rPr>
              <w:t>预算执行情况</w:t>
            </w:r>
          </w:p>
          <w:p>
            <w:pPr>
              <w:widowControl/>
              <w:jc w:val="center"/>
              <w:rPr>
                <w:rFonts w:hint="eastAsia" w:ascii="仿宋" w:hAnsi="仿宋" w:eastAsia="仿宋" w:cs="宋体"/>
                <w:kern w:val="0"/>
                <w:sz w:val="20"/>
                <w:szCs w:val="20"/>
                <w:lang w:eastAsia="zh-CN"/>
              </w:rPr>
            </w:pPr>
            <w:r>
              <w:rPr>
                <w:rFonts w:hint="eastAsia" w:ascii="仿宋" w:hAnsi="仿宋" w:eastAsia="仿宋" w:cs="宋体"/>
                <w:kern w:val="0"/>
                <w:sz w:val="20"/>
                <w:szCs w:val="20"/>
              </w:rPr>
              <w:t>（万元）</w:t>
            </w:r>
          </w:p>
          <w:p>
            <w:pPr>
              <w:widowControl/>
              <w:jc w:val="center"/>
              <w:rPr>
                <w:rFonts w:ascii="仿宋" w:hAnsi="仿宋" w:eastAsia="仿宋" w:cs="宋体"/>
                <w:kern w:val="0"/>
                <w:sz w:val="20"/>
                <w:szCs w:val="20"/>
              </w:rPr>
            </w:pPr>
            <w:r>
              <w:rPr>
                <w:rFonts w:hint="eastAsia" w:ascii="仿宋" w:hAnsi="仿宋" w:eastAsia="仿宋" w:cs="宋体"/>
                <w:kern w:val="0"/>
                <w:sz w:val="20"/>
                <w:szCs w:val="20"/>
              </w:rPr>
              <w:t>（20分）</w:t>
            </w:r>
          </w:p>
        </w:tc>
        <w:tc>
          <w:tcPr>
            <w:tcW w:w="839"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　</w:t>
            </w:r>
          </w:p>
        </w:tc>
        <w:tc>
          <w:tcPr>
            <w:tcW w:w="1079" w:type="pct"/>
            <w:tcBorders>
              <w:top w:val="nil"/>
              <w:left w:val="nil"/>
              <w:bottom w:val="single" w:color="auto" w:sz="4" w:space="0"/>
              <w:right w:val="single" w:color="auto" w:sz="4" w:space="0"/>
            </w:tcBorders>
            <w:shd w:val="clear" w:color="auto" w:fill="auto"/>
            <w:noWrap/>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预算数（A）</w:t>
            </w:r>
          </w:p>
        </w:tc>
        <w:tc>
          <w:tcPr>
            <w:tcW w:w="726" w:type="pct"/>
            <w:gridSpan w:val="2"/>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执行数（B）</w:t>
            </w:r>
          </w:p>
        </w:tc>
        <w:tc>
          <w:tcPr>
            <w:tcW w:w="730" w:type="pct"/>
            <w:gridSpan w:val="2"/>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执行率(B/A)</w:t>
            </w:r>
          </w:p>
        </w:tc>
        <w:tc>
          <w:tcPr>
            <w:tcW w:w="598" w:type="pct"/>
            <w:tcBorders>
              <w:top w:val="nil"/>
              <w:left w:val="nil"/>
              <w:bottom w:val="single" w:color="auto" w:sz="4" w:space="0"/>
              <w:right w:val="single" w:color="auto" w:sz="4" w:space="0"/>
            </w:tcBorders>
            <w:shd w:val="clear" w:color="auto" w:fill="auto"/>
            <w:noWrap/>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得分(20分*执行率)</w:t>
            </w:r>
          </w:p>
        </w:tc>
      </w:tr>
      <w:tr>
        <w:tblPrEx>
          <w:tblCellMar>
            <w:top w:w="0" w:type="dxa"/>
            <w:left w:w="108" w:type="dxa"/>
            <w:bottom w:w="0" w:type="dxa"/>
            <w:right w:w="108" w:type="dxa"/>
          </w:tblCellMar>
        </w:tblPrEx>
        <w:trPr>
          <w:trHeight w:val="525" w:hRule="atLeast"/>
        </w:trPr>
        <w:tc>
          <w:tcPr>
            <w:tcW w:w="1024"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0"/>
                <w:szCs w:val="20"/>
              </w:rPr>
            </w:pPr>
          </w:p>
        </w:tc>
        <w:tc>
          <w:tcPr>
            <w:tcW w:w="839"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部门整体支出总额</w:t>
            </w:r>
          </w:p>
        </w:tc>
        <w:tc>
          <w:tcPr>
            <w:tcW w:w="1079"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ascii="仿宋" w:hAnsi="仿宋" w:eastAsia="仿宋" w:cs="宋体"/>
                <w:kern w:val="0"/>
                <w:sz w:val="20"/>
                <w:szCs w:val="20"/>
              </w:rPr>
              <w:t>266,959.31</w:t>
            </w:r>
          </w:p>
        </w:tc>
        <w:tc>
          <w:tcPr>
            <w:tcW w:w="726" w:type="pct"/>
            <w:gridSpan w:val="2"/>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265</w:t>
            </w:r>
            <w:r>
              <w:rPr>
                <w:rFonts w:ascii="仿宋" w:hAnsi="仿宋" w:eastAsia="仿宋" w:cs="宋体"/>
                <w:kern w:val="0"/>
                <w:sz w:val="20"/>
                <w:szCs w:val="20"/>
              </w:rPr>
              <w:t>,</w:t>
            </w:r>
            <w:r>
              <w:rPr>
                <w:rFonts w:hint="eastAsia" w:ascii="仿宋" w:hAnsi="仿宋" w:eastAsia="仿宋" w:cs="宋体"/>
                <w:kern w:val="0"/>
                <w:sz w:val="20"/>
                <w:szCs w:val="20"/>
              </w:rPr>
              <w:t>568.66</w:t>
            </w:r>
          </w:p>
        </w:tc>
        <w:tc>
          <w:tcPr>
            <w:tcW w:w="730" w:type="pct"/>
            <w:gridSpan w:val="2"/>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ascii="仿宋" w:hAnsi="仿宋" w:eastAsia="仿宋" w:cs="宋体"/>
                <w:kern w:val="0"/>
                <w:sz w:val="20"/>
                <w:szCs w:val="20"/>
              </w:rPr>
              <w:t>99.48</w:t>
            </w:r>
            <w:r>
              <w:rPr>
                <w:rFonts w:hint="eastAsia" w:ascii="仿宋" w:hAnsi="仿宋" w:eastAsia="仿宋" w:cs="宋体"/>
                <w:kern w:val="0"/>
                <w:sz w:val="20"/>
                <w:szCs w:val="20"/>
              </w:rPr>
              <w:t>%</w:t>
            </w:r>
          </w:p>
        </w:tc>
        <w:tc>
          <w:tcPr>
            <w:tcW w:w="598" w:type="pct"/>
            <w:tcBorders>
              <w:top w:val="nil"/>
              <w:left w:val="nil"/>
              <w:bottom w:val="single" w:color="auto" w:sz="4" w:space="0"/>
              <w:right w:val="single" w:color="auto" w:sz="4" w:space="0"/>
            </w:tcBorders>
            <w:shd w:val="clear" w:color="auto" w:fill="auto"/>
            <w:noWrap/>
            <w:vAlign w:val="center"/>
          </w:tcPr>
          <w:p>
            <w:pPr>
              <w:widowControl/>
              <w:jc w:val="center"/>
              <w:rPr>
                <w:rFonts w:ascii="仿宋" w:hAnsi="仿宋" w:eastAsia="仿宋" w:cs="宋体"/>
                <w:kern w:val="0"/>
                <w:sz w:val="20"/>
                <w:szCs w:val="20"/>
              </w:rPr>
            </w:pPr>
            <w:r>
              <w:rPr>
                <w:rFonts w:ascii="仿宋" w:hAnsi="仿宋" w:eastAsia="仿宋" w:cs="宋体"/>
                <w:kern w:val="0"/>
                <w:sz w:val="20"/>
                <w:szCs w:val="20"/>
              </w:rPr>
              <w:t>19.9</w:t>
            </w:r>
          </w:p>
        </w:tc>
      </w:tr>
      <w:tr>
        <w:tblPrEx>
          <w:tblCellMar>
            <w:top w:w="0" w:type="dxa"/>
            <w:left w:w="108" w:type="dxa"/>
            <w:bottom w:w="0" w:type="dxa"/>
            <w:right w:w="108" w:type="dxa"/>
          </w:tblCellMar>
        </w:tblPrEx>
        <w:trPr>
          <w:trHeight w:val="499" w:hRule="atLeast"/>
        </w:trPr>
        <w:tc>
          <w:tcPr>
            <w:tcW w:w="5000" w:type="pct"/>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仿宋" w:hAnsi="仿宋" w:eastAsia="仿宋" w:cs="宋体"/>
                <w:kern w:val="0"/>
                <w:sz w:val="20"/>
                <w:szCs w:val="20"/>
              </w:rPr>
            </w:pPr>
            <w:r>
              <w:rPr>
                <w:rFonts w:hint="eastAsia" w:ascii="仿宋" w:hAnsi="仿宋" w:eastAsia="仿宋" w:cs="宋体"/>
                <w:kern w:val="0"/>
                <w:sz w:val="20"/>
                <w:szCs w:val="20"/>
              </w:rPr>
              <w:t>年度目标1（</w:t>
            </w:r>
            <w:r>
              <w:rPr>
                <w:rFonts w:hint="eastAsia" w:ascii="仿宋" w:hAnsi="仿宋" w:eastAsia="仿宋" w:cs="宋体"/>
                <w:kern w:val="0"/>
                <w:sz w:val="20"/>
                <w:szCs w:val="20"/>
                <w:lang w:val="en-US" w:eastAsia="zh-CN"/>
              </w:rPr>
              <w:t>16</w:t>
            </w:r>
            <w:r>
              <w:rPr>
                <w:rFonts w:hint="eastAsia" w:ascii="仿宋" w:hAnsi="仿宋" w:eastAsia="仿宋" w:cs="宋体"/>
                <w:kern w:val="0"/>
                <w:sz w:val="20"/>
                <w:szCs w:val="20"/>
              </w:rPr>
              <w:t>分）：进一步推进城建攻坚计划，全面推进城市基础设施配套建设；加强重点项目协调，全面推进</w:t>
            </w:r>
            <w:r>
              <w:rPr>
                <w:rFonts w:hint="eastAsia" w:ascii="仿宋" w:hAnsi="仿宋" w:eastAsia="仿宋" w:cs="宋体"/>
                <w:kern w:val="0"/>
                <w:sz w:val="20"/>
                <w:szCs w:val="20"/>
                <w:lang w:val="zh-CN"/>
              </w:rPr>
              <w:t>路</w:t>
            </w:r>
            <w:r>
              <w:rPr>
                <w:rFonts w:hint="eastAsia" w:ascii="仿宋" w:hAnsi="仿宋" w:eastAsia="仿宋" w:cs="宋体"/>
                <w:kern w:val="0"/>
                <w:sz w:val="20"/>
                <w:szCs w:val="20"/>
              </w:rPr>
              <w:t>网项目建设。</w:t>
            </w:r>
          </w:p>
        </w:tc>
      </w:tr>
      <w:tr>
        <w:tblPrEx>
          <w:tblCellMar>
            <w:top w:w="0" w:type="dxa"/>
            <w:left w:w="108" w:type="dxa"/>
            <w:bottom w:w="0" w:type="dxa"/>
            <w:right w:w="108" w:type="dxa"/>
          </w:tblCellMar>
        </w:tblPrEx>
        <w:trPr>
          <w:trHeight w:val="499" w:hRule="atLeast"/>
        </w:trPr>
        <w:tc>
          <w:tcPr>
            <w:tcW w:w="340" w:type="pct"/>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年度绩效指标</w:t>
            </w:r>
          </w:p>
        </w:tc>
        <w:tc>
          <w:tcPr>
            <w:tcW w:w="683" w:type="pct"/>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lang w:eastAsia="zh-CN"/>
              </w:rPr>
            </w:pPr>
            <w:r>
              <w:rPr>
                <w:rFonts w:hint="eastAsia" w:ascii="仿宋" w:hAnsi="仿宋" w:eastAsia="仿宋" w:cs="宋体"/>
                <w:kern w:val="0"/>
                <w:sz w:val="20"/>
                <w:szCs w:val="20"/>
              </w:rPr>
              <w:t>一级</w:t>
            </w:r>
          </w:p>
          <w:p>
            <w:pPr>
              <w:widowControl/>
              <w:jc w:val="center"/>
              <w:rPr>
                <w:rFonts w:ascii="仿宋" w:hAnsi="仿宋" w:eastAsia="仿宋" w:cs="宋体"/>
                <w:kern w:val="0"/>
                <w:sz w:val="20"/>
                <w:szCs w:val="20"/>
              </w:rPr>
            </w:pPr>
            <w:r>
              <w:rPr>
                <w:rFonts w:hint="eastAsia" w:ascii="仿宋" w:hAnsi="仿宋" w:eastAsia="仿宋" w:cs="宋体"/>
                <w:kern w:val="0"/>
                <w:sz w:val="20"/>
                <w:szCs w:val="20"/>
              </w:rPr>
              <w:t>指标</w:t>
            </w:r>
          </w:p>
        </w:tc>
        <w:tc>
          <w:tcPr>
            <w:tcW w:w="839"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二级指标</w:t>
            </w:r>
          </w:p>
        </w:tc>
        <w:tc>
          <w:tcPr>
            <w:tcW w:w="1079"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指标名称</w:t>
            </w:r>
          </w:p>
        </w:tc>
        <w:tc>
          <w:tcPr>
            <w:tcW w:w="726" w:type="pct"/>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rPr>
            </w:pPr>
            <w:r>
              <w:rPr>
                <w:rFonts w:hint="eastAsia" w:ascii="仿宋" w:hAnsi="仿宋" w:eastAsia="仿宋" w:cs="宋体"/>
                <w:kern w:val="0"/>
                <w:sz w:val="20"/>
                <w:szCs w:val="20"/>
              </w:rPr>
              <w:t>年初</w:t>
            </w:r>
          </w:p>
          <w:p>
            <w:pPr>
              <w:widowControl/>
              <w:jc w:val="center"/>
              <w:rPr>
                <w:rFonts w:ascii="仿宋" w:hAnsi="仿宋" w:eastAsia="仿宋" w:cs="宋体"/>
                <w:kern w:val="0"/>
                <w:sz w:val="20"/>
                <w:szCs w:val="20"/>
              </w:rPr>
            </w:pPr>
            <w:r>
              <w:rPr>
                <w:rFonts w:hint="eastAsia" w:ascii="仿宋" w:hAnsi="仿宋" w:eastAsia="仿宋" w:cs="宋体"/>
                <w:kern w:val="0"/>
                <w:sz w:val="20"/>
                <w:szCs w:val="20"/>
              </w:rPr>
              <w:t>指标值</w:t>
            </w:r>
          </w:p>
        </w:tc>
        <w:tc>
          <w:tcPr>
            <w:tcW w:w="730" w:type="pct"/>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rPr>
            </w:pPr>
            <w:r>
              <w:rPr>
                <w:rFonts w:hint="eastAsia" w:ascii="仿宋" w:hAnsi="仿宋" w:eastAsia="仿宋" w:cs="宋体"/>
                <w:kern w:val="0"/>
                <w:sz w:val="20"/>
                <w:szCs w:val="20"/>
              </w:rPr>
              <w:t>实际</w:t>
            </w:r>
          </w:p>
          <w:p>
            <w:pPr>
              <w:widowControl/>
              <w:jc w:val="center"/>
              <w:rPr>
                <w:rFonts w:ascii="仿宋" w:hAnsi="仿宋" w:eastAsia="仿宋" w:cs="宋体"/>
                <w:kern w:val="0"/>
                <w:sz w:val="20"/>
                <w:szCs w:val="20"/>
              </w:rPr>
            </w:pPr>
            <w:r>
              <w:rPr>
                <w:rFonts w:hint="eastAsia" w:ascii="仿宋" w:hAnsi="仿宋" w:eastAsia="仿宋" w:cs="宋体"/>
                <w:kern w:val="0"/>
                <w:sz w:val="20"/>
                <w:szCs w:val="20"/>
              </w:rPr>
              <w:t>完成值</w:t>
            </w:r>
          </w:p>
        </w:tc>
        <w:tc>
          <w:tcPr>
            <w:tcW w:w="598"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得分</w:t>
            </w:r>
          </w:p>
        </w:tc>
      </w:tr>
      <w:tr>
        <w:tblPrEx>
          <w:tblCellMar>
            <w:top w:w="0" w:type="dxa"/>
            <w:left w:w="108" w:type="dxa"/>
            <w:bottom w:w="0" w:type="dxa"/>
            <w:right w:w="108" w:type="dxa"/>
          </w:tblCellMar>
        </w:tblPrEx>
        <w:trPr>
          <w:trHeight w:val="499" w:hRule="atLeast"/>
        </w:trPr>
        <w:tc>
          <w:tcPr>
            <w:tcW w:w="340" w:type="pct"/>
            <w:vMerge w:val="continue"/>
            <w:tcBorders>
              <w:top w:val="nil"/>
              <w:left w:val="single" w:color="auto" w:sz="4" w:space="0"/>
              <w:bottom w:val="single" w:color="000000" w:sz="4" w:space="0"/>
              <w:right w:val="single" w:color="auto" w:sz="4" w:space="0"/>
            </w:tcBorders>
            <w:vAlign w:val="center"/>
          </w:tcPr>
          <w:p>
            <w:pPr>
              <w:widowControl/>
              <w:jc w:val="left"/>
              <w:rPr>
                <w:rFonts w:ascii="仿宋" w:hAnsi="仿宋" w:eastAsia="仿宋" w:cs="宋体"/>
                <w:kern w:val="0"/>
                <w:sz w:val="20"/>
                <w:szCs w:val="20"/>
              </w:rPr>
            </w:pPr>
          </w:p>
        </w:tc>
        <w:tc>
          <w:tcPr>
            <w:tcW w:w="683" w:type="pct"/>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产出指标</w:t>
            </w:r>
          </w:p>
          <w:p>
            <w:pPr>
              <w:widowControl/>
              <w:jc w:val="center"/>
              <w:rPr>
                <w:rFonts w:ascii="仿宋" w:hAnsi="仿宋" w:eastAsia="仿宋" w:cs="宋体"/>
                <w:kern w:val="0"/>
                <w:sz w:val="20"/>
                <w:szCs w:val="20"/>
              </w:rPr>
            </w:pPr>
            <w:r>
              <w:rPr>
                <w:rFonts w:hint="eastAsia" w:ascii="仿宋" w:hAnsi="仿宋" w:eastAsia="仿宋" w:cs="宋体"/>
                <w:kern w:val="0"/>
                <w:sz w:val="20"/>
                <w:szCs w:val="20"/>
              </w:rPr>
              <w:t>（</w:t>
            </w:r>
            <w:r>
              <w:rPr>
                <w:rFonts w:ascii="仿宋" w:hAnsi="仿宋" w:eastAsia="仿宋" w:cs="宋体"/>
                <w:kern w:val="0"/>
                <w:sz w:val="20"/>
                <w:szCs w:val="20"/>
              </w:rPr>
              <w:t>10</w:t>
            </w:r>
            <w:r>
              <w:rPr>
                <w:rFonts w:hint="eastAsia" w:ascii="仿宋" w:hAnsi="仿宋" w:eastAsia="仿宋" w:cs="宋体"/>
                <w:kern w:val="0"/>
                <w:sz w:val="20"/>
                <w:szCs w:val="20"/>
              </w:rPr>
              <w:t>分）</w:t>
            </w:r>
          </w:p>
        </w:tc>
        <w:tc>
          <w:tcPr>
            <w:tcW w:w="839" w:type="pct"/>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rPr>
            </w:pPr>
            <w:r>
              <w:rPr>
                <w:rFonts w:hint="eastAsia" w:ascii="仿宋" w:hAnsi="仿宋" w:eastAsia="仿宋" w:cs="宋体"/>
                <w:kern w:val="0"/>
                <w:sz w:val="20"/>
                <w:szCs w:val="20"/>
              </w:rPr>
              <w:t>质量指标</w:t>
            </w:r>
          </w:p>
          <w:p>
            <w:pPr>
              <w:widowControl/>
              <w:jc w:val="center"/>
              <w:rPr>
                <w:rFonts w:hint="eastAsia" w:ascii="仿宋" w:hAnsi="仿宋" w:eastAsia="仿宋" w:cs="宋体"/>
                <w:kern w:val="0"/>
                <w:sz w:val="20"/>
                <w:szCs w:val="20"/>
              </w:rPr>
            </w:pPr>
          </w:p>
        </w:tc>
        <w:tc>
          <w:tcPr>
            <w:tcW w:w="1079" w:type="pct"/>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rPr>
            </w:pPr>
            <w:r>
              <w:rPr>
                <w:rFonts w:hint="eastAsia" w:ascii="仿宋" w:hAnsi="仿宋" w:eastAsia="仿宋" w:cs="宋体"/>
                <w:kern w:val="0"/>
                <w:sz w:val="20"/>
                <w:szCs w:val="20"/>
              </w:rPr>
              <w:t>微循环路网建设</w:t>
            </w:r>
          </w:p>
          <w:p>
            <w:pPr>
              <w:widowControl/>
              <w:jc w:val="center"/>
              <w:rPr>
                <w:rFonts w:hint="eastAsia" w:ascii="仿宋" w:hAnsi="仿宋" w:eastAsia="仿宋" w:cs="宋体"/>
                <w:kern w:val="0"/>
                <w:sz w:val="20"/>
                <w:szCs w:val="20"/>
              </w:rPr>
            </w:pPr>
            <w:r>
              <w:rPr>
                <w:rFonts w:hint="eastAsia" w:ascii="仿宋" w:hAnsi="仿宋" w:eastAsia="仿宋" w:cs="宋体"/>
                <w:kern w:val="0"/>
                <w:sz w:val="20"/>
                <w:szCs w:val="20"/>
              </w:rPr>
              <w:t>推进度</w:t>
            </w:r>
          </w:p>
        </w:tc>
        <w:tc>
          <w:tcPr>
            <w:tcW w:w="726" w:type="pct"/>
            <w:gridSpan w:val="2"/>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highlight w:val="none"/>
              </w:rPr>
            </w:pPr>
            <w:r>
              <w:rPr>
                <w:rFonts w:hint="eastAsia" w:ascii="仿宋" w:hAnsi="仿宋" w:eastAsia="仿宋" w:cs="宋体"/>
                <w:kern w:val="0"/>
                <w:sz w:val="20"/>
                <w:szCs w:val="20"/>
                <w:highlight w:val="none"/>
              </w:rPr>
              <w:t>有效推进</w:t>
            </w:r>
          </w:p>
        </w:tc>
        <w:tc>
          <w:tcPr>
            <w:tcW w:w="730" w:type="pct"/>
            <w:gridSpan w:val="2"/>
            <w:tcBorders>
              <w:top w:val="nil"/>
              <w:left w:val="nil"/>
              <w:bottom w:val="single" w:color="auto" w:sz="4" w:space="0"/>
              <w:right w:val="single" w:color="auto" w:sz="4" w:space="0"/>
            </w:tcBorders>
            <w:shd w:val="clear" w:color="auto" w:fill="auto"/>
            <w:vAlign w:val="center"/>
          </w:tcPr>
          <w:p>
            <w:pPr>
              <w:widowControl/>
              <w:jc w:val="center"/>
              <w:rPr>
                <w:rFonts w:hint="default" w:ascii="仿宋" w:hAnsi="仿宋" w:eastAsia="仿宋" w:cs="宋体"/>
                <w:kern w:val="0"/>
                <w:sz w:val="20"/>
                <w:szCs w:val="20"/>
                <w:lang w:val="en-US" w:eastAsia="zh-CN"/>
              </w:rPr>
            </w:pPr>
            <w:r>
              <w:rPr>
                <w:rFonts w:hint="eastAsia" w:ascii="仿宋" w:hAnsi="仿宋" w:eastAsia="仿宋" w:cs="宋体"/>
                <w:kern w:val="0"/>
                <w:sz w:val="20"/>
                <w:szCs w:val="20"/>
                <w:lang w:val="en-US" w:eastAsia="zh-CN"/>
              </w:rPr>
              <w:t>有效推进</w:t>
            </w:r>
          </w:p>
        </w:tc>
        <w:tc>
          <w:tcPr>
            <w:tcW w:w="598"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5</w:t>
            </w:r>
          </w:p>
        </w:tc>
      </w:tr>
      <w:tr>
        <w:tblPrEx>
          <w:tblCellMar>
            <w:top w:w="0" w:type="dxa"/>
            <w:left w:w="108" w:type="dxa"/>
            <w:bottom w:w="0" w:type="dxa"/>
            <w:right w:w="108" w:type="dxa"/>
          </w:tblCellMar>
        </w:tblPrEx>
        <w:trPr>
          <w:trHeight w:val="499" w:hRule="atLeast"/>
        </w:trPr>
        <w:tc>
          <w:tcPr>
            <w:tcW w:w="340" w:type="pct"/>
            <w:vMerge w:val="continue"/>
            <w:tcBorders>
              <w:top w:val="nil"/>
              <w:left w:val="single" w:color="auto" w:sz="4" w:space="0"/>
              <w:bottom w:val="single" w:color="000000" w:sz="4" w:space="0"/>
              <w:right w:val="single" w:color="auto" w:sz="4" w:space="0"/>
            </w:tcBorders>
            <w:vAlign w:val="center"/>
          </w:tcPr>
          <w:p>
            <w:pPr>
              <w:widowControl/>
              <w:jc w:val="left"/>
              <w:rPr>
                <w:rFonts w:ascii="仿宋" w:hAnsi="仿宋" w:eastAsia="仿宋" w:cs="宋体"/>
                <w:kern w:val="0"/>
                <w:sz w:val="20"/>
                <w:szCs w:val="20"/>
              </w:rPr>
            </w:pPr>
          </w:p>
        </w:tc>
        <w:tc>
          <w:tcPr>
            <w:tcW w:w="683" w:type="pct"/>
            <w:vMerge w:val="continue"/>
            <w:tcBorders>
              <w:top w:val="nil"/>
              <w:left w:val="single" w:color="auto" w:sz="4" w:space="0"/>
              <w:bottom w:val="single" w:color="000000" w:sz="4" w:space="0"/>
              <w:right w:val="single" w:color="auto" w:sz="4" w:space="0"/>
            </w:tcBorders>
            <w:vAlign w:val="center"/>
          </w:tcPr>
          <w:p>
            <w:pPr>
              <w:widowControl/>
              <w:jc w:val="left"/>
              <w:rPr>
                <w:rFonts w:ascii="仿宋" w:hAnsi="仿宋" w:eastAsia="仿宋" w:cs="宋体"/>
                <w:kern w:val="0"/>
                <w:sz w:val="20"/>
                <w:szCs w:val="20"/>
              </w:rPr>
            </w:pPr>
          </w:p>
        </w:tc>
        <w:tc>
          <w:tcPr>
            <w:tcW w:w="839" w:type="pct"/>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rPr>
            </w:pPr>
            <w:r>
              <w:rPr>
                <w:rFonts w:hint="eastAsia" w:ascii="仿宋" w:hAnsi="仿宋" w:eastAsia="仿宋" w:cs="宋体"/>
                <w:kern w:val="0"/>
                <w:sz w:val="20"/>
                <w:szCs w:val="20"/>
              </w:rPr>
              <w:t>质量指标</w:t>
            </w:r>
          </w:p>
          <w:p>
            <w:pPr>
              <w:widowControl/>
              <w:jc w:val="center"/>
              <w:rPr>
                <w:rFonts w:hint="eastAsia" w:ascii="仿宋" w:hAnsi="仿宋" w:eastAsia="仿宋" w:cs="宋体"/>
                <w:kern w:val="0"/>
                <w:sz w:val="20"/>
                <w:szCs w:val="20"/>
              </w:rPr>
            </w:pPr>
          </w:p>
        </w:tc>
        <w:tc>
          <w:tcPr>
            <w:tcW w:w="1079" w:type="pct"/>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rPr>
            </w:pPr>
            <w:r>
              <w:rPr>
                <w:rFonts w:hint="eastAsia" w:ascii="仿宋" w:hAnsi="仿宋" w:eastAsia="仿宋" w:cs="宋体"/>
                <w:kern w:val="0"/>
                <w:sz w:val="20"/>
                <w:szCs w:val="20"/>
              </w:rPr>
              <w:t>市（区）级重点项目建设推进度</w:t>
            </w:r>
          </w:p>
        </w:tc>
        <w:tc>
          <w:tcPr>
            <w:tcW w:w="726" w:type="pct"/>
            <w:gridSpan w:val="2"/>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100%</w:t>
            </w:r>
          </w:p>
        </w:tc>
        <w:tc>
          <w:tcPr>
            <w:tcW w:w="730" w:type="pct"/>
            <w:gridSpan w:val="2"/>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100%</w:t>
            </w:r>
          </w:p>
        </w:tc>
        <w:tc>
          <w:tcPr>
            <w:tcW w:w="598"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5</w:t>
            </w:r>
          </w:p>
        </w:tc>
      </w:tr>
      <w:tr>
        <w:tblPrEx>
          <w:tblCellMar>
            <w:top w:w="0" w:type="dxa"/>
            <w:left w:w="108" w:type="dxa"/>
            <w:bottom w:w="0" w:type="dxa"/>
            <w:right w:w="108" w:type="dxa"/>
          </w:tblCellMar>
        </w:tblPrEx>
        <w:trPr>
          <w:trHeight w:val="499" w:hRule="atLeast"/>
        </w:trPr>
        <w:tc>
          <w:tcPr>
            <w:tcW w:w="340" w:type="pct"/>
            <w:vMerge w:val="continue"/>
            <w:tcBorders>
              <w:top w:val="nil"/>
              <w:left w:val="single" w:color="auto" w:sz="4" w:space="0"/>
              <w:bottom w:val="single" w:color="000000" w:sz="4" w:space="0"/>
              <w:right w:val="single" w:color="auto" w:sz="4" w:space="0"/>
            </w:tcBorders>
            <w:vAlign w:val="center"/>
          </w:tcPr>
          <w:p>
            <w:pPr>
              <w:widowControl/>
              <w:jc w:val="left"/>
              <w:rPr>
                <w:rFonts w:ascii="仿宋" w:hAnsi="仿宋" w:eastAsia="仿宋" w:cs="宋体"/>
                <w:kern w:val="0"/>
                <w:sz w:val="20"/>
                <w:szCs w:val="20"/>
              </w:rPr>
            </w:pPr>
          </w:p>
        </w:tc>
        <w:tc>
          <w:tcPr>
            <w:tcW w:w="683"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效益指标（</w:t>
            </w:r>
            <w:r>
              <w:rPr>
                <w:rFonts w:hint="eastAsia" w:ascii="仿宋" w:hAnsi="仿宋" w:eastAsia="仿宋" w:cs="宋体"/>
                <w:kern w:val="0"/>
                <w:sz w:val="20"/>
                <w:szCs w:val="20"/>
                <w:lang w:val="en-US" w:eastAsia="zh-CN"/>
              </w:rPr>
              <w:t>6</w:t>
            </w:r>
            <w:r>
              <w:rPr>
                <w:rFonts w:hint="eastAsia" w:ascii="仿宋" w:hAnsi="仿宋" w:eastAsia="仿宋" w:cs="宋体"/>
                <w:kern w:val="0"/>
                <w:sz w:val="20"/>
                <w:szCs w:val="20"/>
              </w:rPr>
              <w:t>分）</w:t>
            </w:r>
          </w:p>
        </w:tc>
        <w:tc>
          <w:tcPr>
            <w:tcW w:w="839" w:type="pct"/>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rPr>
            </w:pPr>
            <w:r>
              <w:rPr>
                <w:rFonts w:hint="eastAsia" w:ascii="仿宋" w:hAnsi="仿宋" w:eastAsia="仿宋" w:cs="宋体"/>
                <w:kern w:val="0"/>
                <w:sz w:val="20"/>
                <w:szCs w:val="20"/>
              </w:rPr>
              <w:t>社会效益</w:t>
            </w:r>
          </w:p>
          <w:p>
            <w:pPr>
              <w:widowControl/>
              <w:jc w:val="center"/>
              <w:rPr>
                <w:rFonts w:hint="eastAsia" w:ascii="仿宋" w:hAnsi="仿宋" w:eastAsia="仿宋" w:cs="宋体"/>
                <w:kern w:val="0"/>
                <w:sz w:val="20"/>
                <w:szCs w:val="20"/>
              </w:rPr>
            </w:pPr>
            <w:r>
              <w:rPr>
                <w:rFonts w:hint="eastAsia" w:ascii="仿宋" w:hAnsi="仿宋" w:eastAsia="仿宋" w:cs="宋体"/>
                <w:kern w:val="0"/>
                <w:sz w:val="20"/>
                <w:szCs w:val="20"/>
              </w:rPr>
              <w:t>指标</w:t>
            </w:r>
          </w:p>
          <w:p>
            <w:pPr>
              <w:widowControl/>
              <w:jc w:val="center"/>
              <w:rPr>
                <w:rFonts w:hint="eastAsia" w:ascii="仿宋" w:hAnsi="仿宋" w:eastAsia="仿宋" w:cs="宋体"/>
                <w:kern w:val="0"/>
                <w:sz w:val="20"/>
                <w:szCs w:val="20"/>
              </w:rPr>
            </w:pPr>
          </w:p>
        </w:tc>
        <w:tc>
          <w:tcPr>
            <w:tcW w:w="1079" w:type="pct"/>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rPr>
            </w:pPr>
            <w:r>
              <w:rPr>
                <w:rFonts w:hint="eastAsia" w:ascii="仿宋" w:hAnsi="仿宋" w:eastAsia="仿宋" w:cs="宋体"/>
                <w:kern w:val="0"/>
                <w:sz w:val="20"/>
                <w:szCs w:val="20"/>
              </w:rPr>
              <w:t>全区建筑业投资</w:t>
            </w:r>
          </w:p>
          <w:p>
            <w:pPr>
              <w:widowControl/>
              <w:jc w:val="center"/>
              <w:rPr>
                <w:rFonts w:hint="eastAsia" w:ascii="仿宋" w:hAnsi="仿宋" w:eastAsia="仿宋" w:cs="宋体"/>
                <w:kern w:val="0"/>
                <w:sz w:val="20"/>
                <w:szCs w:val="20"/>
              </w:rPr>
            </w:pPr>
            <w:r>
              <w:rPr>
                <w:rFonts w:hint="eastAsia" w:ascii="仿宋" w:hAnsi="仿宋" w:eastAsia="仿宋" w:cs="宋体"/>
                <w:kern w:val="0"/>
                <w:sz w:val="20"/>
                <w:szCs w:val="20"/>
              </w:rPr>
              <w:t>提升度</w:t>
            </w:r>
          </w:p>
        </w:tc>
        <w:tc>
          <w:tcPr>
            <w:tcW w:w="726" w:type="pct"/>
            <w:gridSpan w:val="2"/>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提升</w:t>
            </w:r>
          </w:p>
        </w:tc>
        <w:tc>
          <w:tcPr>
            <w:tcW w:w="730" w:type="pct"/>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lang w:eastAsia="zh-CN"/>
              </w:rPr>
            </w:pPr>
            <w:r>
              <w:rPr>
                <w:rFonts w:hint="eastAsia" w:ascii="仿宋" w:hAnsi="仿宋" w:eastAsia="仿宋" w:cs="宋体"/>
                <w:kern w:val="0"/>
                <w:sz w:val="20"/>
                <w:szCs w:val="20"/>
                <w:lang w:val="en-US" w:eastAsia="zh-CN"/>
              </w:rPr>
              <w:t>显著提升</w:t>
            </w:r>
          </w:p>
        </w:tc>
        <w:tc>
          <w:tcPr>
            <w:tcW w:w="598" w:type="pct"/>
            <w:tcBorders>
              <w:top w:val="nil"/>
              <w:left w:val="nil"/>
              <w:bottom w:val="single" w:color="auto" w:sz="4" w:space="0"/>
              <w:right w:val="single" w:color="auto" w:sz="4" w:space="0"/>
            </w:tcBorders>
            <w:shd w:val="clear" w:color="auto" w:fill="auto"/>
            <w:vAlign w:val="center"/>
          </w:tcPr>
          <w:p>
            <w:pPr>
              <w:widowControl/>
              <w:jc w:val="center"/>
              <w:rPr>
                <w:rFonts w:hint="default" w:ascii="仿宋" w:hAnsi="仿宋" w:eastAsia="仿宋" w:cs="宋体"/>
                <w:kern w:val="0"/>
                <w:sz w:val="20"/>
                <w:szCs w:val="20"/>
                <w:lang w:val="en-US" w:eastAsia="zh-CN"/>
              </w:rPr>
            </w:pPr>
            <w:r>
              <w:rPr>
                <w:rFonts w:hint="eastAsia" w:ascii="仿宋" w:hAnsi="仿宋" w:eastAsia="仿宋" w:cs="宋体"/>
                <w:kern w:val="0"/>
                <w:sz w:val="20"/>
                <w:szCs w:val="20"/>
                <w:lang w:val="en-US" w:eastAsia="zh-CN"/>
              </w:rPr>
              <w:t>6</w:t>
            </w:r>
          </w:p>
        </w:tc>
      </w:tr>
      <w:tr>
        <w:tblPrEx>
          <w:tblCellMar>
            <w:top w:w="0" w:type="dxa"/>
            <w:left w:w="108" w:type="dxa"/>
            <w:bottom w:w="0" w:type="dxa"/>
            <w:right w:w="108" w:type="dxa"/>
          </w:tblCellMar>
        </w:tblPrEx>
        <w:trPr>
          <w:trHeight w:val="787" w:hRule="atLeast"/>
        </w:trPr>
        <w:tc>
          <w:tcPr>
            <w:tcW w:w="5000" w:type="pct"/>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pPr>
            <w:r>
              <w:rPr>
                <w:rFonts w:hint="eastAsia" w:ascii="仿宋" w:hAnsi="仿宋" w:eastAsia="仿宋" w:cs="宋体"/>
                <w:kern w:val="0"/>
                <w:sz w:val="20"/>
                <w:szCs w:val="20"/>
              </w:rPr>
              <w:t>年度目标2（</w:t>
            </w:r>
            <w:r>
              <w:rPr>
                <w:rFonts w:hint="eastAsia" w:ascii="仿宋" w:hAnsi="仿宋" w:eastAsia="仿宋" w:cs="宋体"/>
                <w:kern w:val="0"/>
                <w:sz w:val="20"/>
                <w:szCs w:val="20"/>
                <w:lang w:val="en-US" w:eastAsia="zh-CN"/>
              </w:rPr>
              <w:t>16</w:t>
            </w:r>
            <w:r>
              <w:rPr>
                <w:rFonts w:hint="eastAsia" w:ascii="仿宋" w:hAnsi="仿宋" w:eastAsia="仿宋" w:cs="宋体"/>
                <w:kern w:val="0"/>
                <w:sz w:val="20"/>
                <w:szCs w:val="20"/>
              </w:rPr>
              <w:t>分）：进一步强化建设市场监管与服务，建设规范有序的建筑市场；推进智能家居之都 建设，推进装配式建筑发展，推进海绵城市建设，强化建筑工程质量安全监管。</w:t>
            </w:r>
          </w:p>
        </w:tc>
      </w:tr>
      <w:tr>
        <w:tblPrEx>
          <w:tblCellMar>
            <w:top w:w="0" w:type="dxa"/>
            <w:left w:w="108" w:type="dxa"/>
            <w:bottom w:w="0" w:type="dxa"/>
            <w:right w:w="108" w:type="dxa"/>
          </w:tblCellMar>
        </w:tblPrEx>
        <w:trPr>
          <w:trHeight w:val="499" w:hRule="atLeast"/>
        </w:trPr>
        <w:tc>
          <w:tcPr>
            <w:tcW w:w="340" w:type="pct"/>
            <w:vMerge w:val="restart"/>
            <w:tcBorders>
              <w:top w:val="nil"/>
              <w:left w:val="single" w:color="auto" w:sz="4" w:space="0"/>
              <w:bottom w:val="nil"/>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年度绩效指标</w:t>
            </w:r>
          </w:p>
        </w:tc>
        <w:tc>
          <w:tcPr>
            <w:tcW w:w="683" w:type="pct"/>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lang w:eastAsia="zh-CN"/>
              </w:rPr>
            </w:pPr>
            <w:r>
              <w:rPr>
                <w:rFonts w:hint="eastAsia" w:ascii="仿宋" w:hAnsi="仿宋" w:eastAsia="仿宋" w:cs="宋体"/>
                <w:kern w:val="0"/>
                <w:sz w:val="20"/>
                <w:szCs w:val="20"/>
              </w:rPr>
              <w:t>一级</w:t>
            </w:r>
          </w:p>
          <w:p>
            <w:pPr>
              <w:widowControl/>
              <w:jc w:val="center"/>
              <w:rPr>
                <w:rFonts w:ascii="仿宋" w:hAnsi="仿宋" w:eastAsia="仿宋" w:cs="宋体"/>
                <w:kern w:val="0"/>
                <w:sz w:val="20"/>
                <w:szCs w:val="20"/>
              </w:rPr>
            </w:pPr>
            <w:r>
              <w:rPr>
                <w:rFonts w:hint="eastAsia" w:ascii="仿宋" w:hAnsi="仿宋" w:eastAsia="仿宋" w:cs="宋体"/>
                <w:kern w:val="0"/>
                <w:sz w:val="20"/>
                <w:szCs w:val="20"/>
              </w:rPr>
              <w:t>指标</w:t>
            </w:r>
          </w:p>
        </w:tc>
        <w:tc>
          <w:tcPr>
            <w:tcW w:w="839"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二级指标</w:t>
            </w:r>
          </w:p>
        </w:tc>
        <w:tc>
          <w:tcPr>
            <w:tcW w:w="1079"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指标名称</w:t>
            </w:r>
          </w:p>
        </w:tc>
        <w:tc>
          <w:tcPr>
            <w:tcW w:w="726" w:type="pct"/>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rPr>
            </w:pPr>
            <w:r>
              <w:rPr>
                <w:rFonts w:hint="eastAsia" w:ascii="仿宋" w:hAnsi="仿宋" w:eastAsia="仿宋" w:cs="宋体"/>
                <w:kern w:val="0"/>
                <w:sz w:val="20"/>
                <w:szCs w:val="20"/>
              </w:rPr>
              <w:t>年初</w:t>
            </w:r>
          </w:p>
          <w:p>
            <w:pPr>
              <w:widowControl/>
              <w:jc w:val="center"/>
              <w:rPr>
                <w:rFonts w:ascii="仿宋" w:hAnsi="仿宋" w:eastAsia="仿宋" w:cs="宋体"/>
                <w:kern w:val="0"/>
                <w:sz w:val="20"/>
                <w:szCs w:val="20"/>
              </w:rPr>
            </w:pPr>
            <w:r>
              <w:rPr>
                <w:rFonts w:hint="eastAsia" w:ascii="仿宋" w:hAnsi="仿宋" w:eastAsia="仿宋" w:cs="宋体"/>
                <w:kern w:val="0"/>
                <w:sz w:val="20"/>
                <w:szCs w:val="20"/>
              </w:rPr>
              <w:t>指标值</w:t>
            </w:r>
          </w:p>
        </w:tc>
        <w:tc>
          <w:tcPr>
            <w:tcW w:w="730" w:type="pct"/>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rPr>
            </w:pPr>
            <w:r>
              <w:rPr>
                <w:rFonts w:hint="eastAsia" w:ascii="仿宋" w:hAnsi="仿宋" w:eastAsia="仿宋" w:cs="宋体"/>
                <w:kern w:val="0"/>
                <w:sz w:val="20"/>
                <w:szCs w:val="20"/>
              </w:rPr>
              <w:t>实际</w:t>
            </w:r>
          </w:p>
          <w:p>
            <w:pPr>
              <w:widowControl/>
              <w:jc w:val="center"/>
              <w:rPr>
                <w:rFonts w:ascii="仿宋" w:hAnsi="仿宋" w:eastAsia="仿宋" w:cs="宋体"/>
                <w:kern w:val="0"/>
                <w:sz w:val="20"/>
                <w:szCs w:val="20"/>
              </w:rPr>
            </w:pPr>
            <w:r>
              <w:rPr>
                <w:rFonts w:hint="eastAsia" w:ascii="仿宋" w:hAnsi="仿宋" w:eastAsia="仿宋" w:cs="宋体"/>
                <w:kern w:val="0"/>
                <w:sz w:val="20"/>
                <w:szCs w:val="20"/>
              </w:rPr>
              <w:t>完成值</w:t>
            </w:r>
          </w:p>
        </w:tc>
        <w:tc>
          <w:tcPr>
            <w:tcW w:w="598"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得分</w:t>
            </w:r>
          </w:p>
        </w:tc>
      </w:tr>
      <w:tr>
        <w:tblPrEx>
          <w:tblCellMar>
            <w:top w:w="0" w:type="dxa"/>
            <w:left w:w="108" w:type="dxa"/>
            <w:bottom w:w="0" w:type="dxa"/>
            <w:right w:w="108" w:type="dxa"/>
          </w:tblCellMar>
        </w:tblPrEx>
        <w:trPr>
          <w:trHeight w:val="499" w:hRule="atLeast"/>
        </w:trPr>
        <w:tc>
          <w:tcPr>
            <w:tcW w:w="340" w:type="pct"/>
            <w:vMerge w:val="continue"/>
            <w:tcBorders>
              <w:top w:val="nil"/>
              <w:left w:val="single" w:color="auto" w:sz="4" w:space="0"/>
              <w:bottom w:val="nil"/>
              <w:right w:val="single" w:color="auto" w:sz="4" w:space="0"/>
            </w:tcBorders>
            <w:vAlign w:val="center"/>
          </w:tcPr>
          <w:p>
            <w:pPr>
              <w:widowControl/>
              <w:jc w:val="left"/>
              <w:rPr>
                <w:rFonts w:ascii="仿宋" w:hAnsi="仿宋" w:eastAsia="仿宋" w:cs="宋体"/>
                <w:kern w:val="0"/>
                <w:sz w:val="20"/>
                <w:szCs w:val="20"/>
              </w:rPr>
            </w:pPr>
          </w:p>
        </w:tc>
        <w:tc>
          <w:tcPr>
            <w:tcW w:w="683" w:type="pct"/>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产出指标（</w:t>
            </w:r>
            <w:r>
              <w:rPr>
                <w:rFonts w:hint="eastAsia" w:ascii="仿宋" w:hAnsi="仿宋" w:eastAsia="仿宋" w:cs="宋体"/>
                <w:kern w:val="0"/>
                <w:sz w:val="20"/>
                <w:szCs w:val="20"/>
                <w:lang w:val="en-US" w:eastAsia="zh-CN"/>
              </w:rPr>
              <w:t>11</w:t>
            </w:r>
            <w:r>
              <w:rPr>
                <w:rFonts w:hint="eastAsia" w:ascii="仿宋" w:hAnsi="仿宋" w:eastAsia="仿宋" w:cs="宋体"/>
                <w:kern w:val="0"/>
                <w:sz w:val="20"/>
                <w:szCs w:val="20"/>
              </w:rPr>
              <w:t>分）</w:t>
            </w:r>
          </w:p>
        </w:tc>
        <w:tc>
          <w:tcPr>
            <w:tcW w:w="839" w:type="pct"/>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rPr>
            </w:pPr>
            <w:r>
              <w:rPr>
                <w:rFonts w:hint="eastAsia" w:ascii="仿宋" w:hAnsi="仿宋" w:eastAsia="仿宋" w:cs="宋体"/>
                <w:kern w:val="0"/>
                <w:sz w:val="20"/>
                <w:szCs w:val="20"/>
              </w:rPr>
              <w:t>数量指标</w:t>
            </w:r>
          </w:p>
          <w:p>
            <w:pPr>
              <w:widowControl/>
              <w:jc w:val="center"/>
              <w:rPr>
                <w:rFonts w:ascii="仿宋" w:hAnsi="仿宋" w:eastAsia="仿宋" w:cs="宋体"/>
                <w:kern w:val="0"/>
                <w:sz w:val="20"/>
                <w:szCs w:val="20"/>
              </w:rPr>
            </w:pPr>
            <w:r>
              <w:rPr>
                <w:rFonts w:hint="eastAsia" w:ascii="仿宋" w:hAnsi="仿宋" w:eastAsia="仿宋" w:cs="宋体"/>
                <w:kern w:val="0"/>
                <w:sz w:val="20"/>
                <w:szCs w:val="20"/>
              </w:rPr>
              <w:t>（</w:t>
            </w:r>
            <w:r>
              <w:rPr>
                <w:rFonts w:ascii="仿宋" w:hAnsi="仿宋" w:eastAsia="仿宋" w:cs="宋体"/>
                <w:kern w:val="0"/>
                <w:sz w:val="20"/>
                <w:szCs w:val="20"/>
              </w:rPr>
              <w:t>5</w:t>
            </w:r>
            <w:r>
              <w:rPr>
                <w:rFonts w:hint="eastAsia" w:ascii="仿宋" w:hAnsi="仿宋" w:eastAsia="仿宋" w:cs="宋体"/>
                <w:kern w:val="0"/>
                <w:sz w:val="20"/>
                <w:szCs w:val="20"/>
              </w:rPr>
              <w:t>分）</w:t>
            </w:r>
          </w:p>
        </w:tc>
        <w:tc>
          <w:tcPr>
            <w:tcW w:w="1079" w:type="pct"/>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rPr>
            </w:pPr>
            <w:r>
              <w:rPr>
                <w:rFonts w:hint="eastAsia" w:ascii="仿宋" w:hAnsi="仿宋" w:eastAsia="仿宋" w:cs="宋体"/>
                <w:kern w:val="0"/>
                <w:sz w:val="20"/>
                <w:szCs w:val="20"/>
                <w:lang w:val="en-US" w:eastAsia="zh-CN"/>
              </w:rPr>
              <w:t>重点</w:t>
            </w:r>
            <w:r>
              <w:rPr>
                <w:rFonts w:hint="eastAsia" w:ascii="仿宋" w:hAnsi="仿宋" w:eastAsia="仿宋" w:cs="宋体"/>
                <w:kern w:val="0"/>
                <w:sz w:val="20"/>
                <w:szCs w:val="20"/>
              </w:rPr>
              <w:t>工程监督抽查</w:t>
            </w:r>
          </w:p>
          <w:p>
            <w:pPr>
              <w:widowControl/>
              <w:jc w:val="center"/>
              <w:rPr>
                <w:rFonts w:hint="eastAsia" w:ascii="仿宋" w:hAnsi="仿宋" w:eastAsia="仿宋" w:cs="宋体"/>
                <w:kern w:val="0"/>
                <w:sz w:val="20"/>
                <w:szCs w:val="20"/>
              </w:rPr>
            </w:pPr>
            <w:r>
              <w:rPr>
                <w:rFonts w:hint="eastAsia" w:ascii="仿宋" w:hAnsi="仿宋" w:eastAsia="仿宋" w:cs="宋体"/>
                <w:kern w:val="0"/>
                <w:sz w:val="20"/>
                <w:szCs w:val="20"/>
              </w:rPr>
              <w:t>到位率</w:t>
            </w:r>
          </w:p>
        </w:tc>
        <w:tc>
          <w:tcPr>
            <w:tcW w:w="726" w:type="pct"/>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rPr>
            </w:pPr>
            <w:r>
              <w:rPr>
                <w:rFonts w:hint="eastAsia" w:ascii="仿宋" w:hAnsi="仿宋" w:eastAsia="仿宋" w:cs="宋体"/>
                <w:kern w:val="0"/>
                <w:sz w:val="20"/>
                <w:szCs w:val="20"/>
              </w:rPr>
              <w:t>100%</w:t>
            </w:r>
          </w:p>
        </w:tc>
        <w:tc>
          <w:tcPr>
            <w:tcW w:w="730" w:type="pct"/>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rPr>
            </w:pPr>
            <w:r>
              <w:rPr>
                <w:rFonts w:hint="eastAsia" w:ascii="仿宋" w:hAnsi="仿宋" w:eastAsia="仿宋" w:cs="宋体"/>
                <w:kern w:val="0"/>
                <w:sz w:val="20"/>
                <w:szCs w:val="20"/>
              </w:rPr>
              <w:t>100%</w:t>
            </w:r>
          </w:p>
        </w:tc>
        <w:tc>
          <w:tcPr>
            <w:tcW w:w="598" w:type="pct"/>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lang w:eastAsia="zh-CN"/>
              </w:rPr>
            </w:pPr>
            <w:r>
              <w:rPr>
                <w:rFonts w:hint="eastAsia" w:ascii="仿宋" w:hAnsi="仿宋" w:eastAsia="仿宋" w:cs="宋体"/>
                <w:kern w:val="0"/>
                <w:sz w:val="20"/>
                <w:szCs w:val="20"/>
                <w:lang w:val="en-US" w:eastAsia="zh-CN"/>
              </w:rPr>
              <w:t>5</w:t>
            </w:r>
          </w:p>
        </w:tc>
      </w:tr>
      <w:tr>
        <w:tblPrEx>
          <w:tblCellMar>
            <w:top w:w="0" w:type="dxa"/>
            <w:left w:w="108" w:type="dxa"/>
            <w:bottom w:w="0" w:type="dxa"/>
            <w:right w:w="108" w:type="dxa"/>
          </w:tblCellMar>
        </w:tblPrEx>
        <w:trPr>
          <w:trHeight w:val="499" w:hRule="atLeast"/>
        </w:trPr>
        <w:tc>
          <w:tcPr>
            <w:tcW w:w="340" w:type="pct"/>
            <w:vMerge w:val="continue"/>
            <w:tcBorders>
              <w:top w:val="nil"/>
              <w:left w:val="single" w:color="auto" w:sz="4" w:space="0"/>
              <w:bottom w:val="nil"/>
              <w:right w:val="single" w:color="auto" w:sz="4" w:space="0"/>
            </w:tcBorders>
            <w:vAlign w:val="center"/>
          </w:tcPr>
          <w:p>
            <w:pPr>
              <w:widowControl/>
              <w:jc w:val="left"/>
              <w:rPr>
                <w:rFonts w:ascii="仿宋" w:hAnsi="仿宋" w:eastAsia="仿宋" w:cs="宋体"/>
                <w:kern w:val="0"/>
                <w:sz w:val="20"/>
                <w:szCs w:val="20"/>
              </w:rPr>
            </w:pPr>
          </w:p>
        </w:tc>
        <w:tc>
          <w:tcPr>
            <w:tcW w:w="683" w:type="pct"/>
            <w:vMerge w:val="continue"/>
            <w:tcBorders>
              <w:top w:val="nil"/>
              <w:left w:val="single" w:color="auto" w:sz="4" w:space="0"/>
              <w:bottom w:val="single" w:color="000000" w:sz="4" w:space="0"/>
              <w:right w:val="single" w:color="auto" w:sz="4" w:space="0"/>
            </w:tcBorders>
            <w:vAlign w:val="center"/>
          </w:tcPr>
          <w:p>
            <w:pPr>
              <w:widowControl/>
              <w:jc w:val="left"/>
              <w:rPr>
                <w:rFonts w:ascii="仿宋" w:hAnsi="仿宋" w:eastAsia="仿宋" w:cs="宋体"/>
                <w:kern w:val="0"/>
                <w:sz w:val="20"/>
                <w:szCs w:val="20"/>
              </w:rPr>
            </w:pPr>
          </w:p>
        </w:tc>
        <w:tc>
          <w:tcPr>
            <w:tcW w:w="839" w:type="pct"/>
            <w:vMerge w:val="restart"/>
            <w:tcBorders>
              <w:top w:val="nil"/>
              <w:left w:val="nil"/>
              <w:right w:val="single" w:color="auto" w:sz="4" w:space="0"/>
            </w:tcBorders>
            <w:shd w:val="clear" w:color="auto" w:fill="auto"/>
            <w:vAlign w:val="center"/>
          </w:tcPr>
          <w:p>
            <w:pPr>
              <w:widowControl/>
              <w:jc w:val="center"/>
              <w:rPr>
                <w:rFonts w:hint="eastAsia" w:ascii="仿宋" w:hAnsi="仿宋" w:eastAsia="仿宋" w:cs="宋体"/>
                <w:kern w:val="0"/>
                <w:sz w:val="20"/>
                <w:szCs w:val="20"/>
              </w:rPr>
            </w:pPr>
            <w:r>
              <w:rPr>
                <w:rFonts w:hint="eastAsia" w:ascii="仿宋" w:hAnsi="仿宋" w:eastAsia="仿宋" w:cs="宋体"/>
                <w:kern w:val="0"/>
                <w:sz w:val="20"/>
                <w:szCs w:val="20"/>
              </w:rPr>
              <w:t>质量指标</w:t>
            </w:r>
          </w:p>
          <w:p>
            <w:pPr>
              <w:widowControl/>
              <w:jc w:val="center"/>
              <w:rPr>
                <w:rFonts w:ascii="仿宋" w:hAnsi="仿宋" w:eastAsia="仿宋" w:cs="宋体"/>
                <w:kern w:val="0"/>
                <w:sz w:val="20"/>
                <w:szCs w:val="20"/>
              </w:rPr>
            </w:pPr>
            <w:r>
              <w:rPr>
                <w:rFonts w:hint="eastAsia" w:ascii="仿宋" w:hAnsi="仿宋" w:eastAsia="仿宋" w:cs="宋体"/>
                <w:kern w:val="0"/>
                <w:sz w:val="20"/>
                <w:szCs w:val="20"/>
              </w:rPr>
              <w:t>（</w:t>
            </w:r>
            <w:r>
              <w:rPr>
                <w:rFonts w:hint="eastAsia" w:ascii="仿宋" w:hAnsi="仿宋" w:eastAsia="仿宋" w:cs="宋体"/>
                <w:kern w:val="0"/>
                <w:sz w:val="20"/>
                <w:szCs w:val="20"/>
                <w:lang w:val="en-US" w:eastAsia="zh-CN"/>
              </w:rPr>
              <w:t>6</w:t>
            </w:r>
            <w:r>
              <w:rPr>
                <w:rFonts w:hint="eastAsia" w:ascii="仿宋" w:hAnsi="仿宋" w:eastAsia="仿宋" w:cs="宋体"/>
                <w:kern w:val="0"/>
                <w:sz w:val="20"/>
                <w:szCs w:val="20"/>
              </w:rPr>
              <w:t>分）</w:t>
            </w:r>
          </w:p>
          <w:p>
            <w:pPr>
              <w:jc w:val="center"/>
              <w:rPr>
                <w:rFonts w:ascii="仿宋" w:hAnsi="仿宋" w:eastAsia="仿宋" w:cs="宋体"/>
                <w:kern w:val="0"/>
                <w:sz w:val="20"/>
                <w:szCs w:val="20"/>
              </w:rPr>
            </w:pPr>
          </w:p>
        </w:tc>
        <w:tc>
          <w:tcPr>
            <w:tcW w:w="1079" w:type="pct"/>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lang w:val="en-US" w:eastAsia="zh-CN"/>
              </w:rPr>
            </w:pPr>
            <w:r>
              <w:rPr>
                <w:rFonts w:hint="eastAsia" w:ascii="仿宋" w:hAnsi="仿宋" w:eastAsia="仿宋" w:cs="宋体"/>
                <w:kern w:val="0"/>
                <w:sz w:val="20"/>
                <w:szCs w:val="20"/>
              </w:rPr>
              <w:t>文明施工</w:t>
            </w:r>
            <w:r>
              <w:rPr>
                <w:rFonts w:hint="eastAsia" w:ascii="仿宋" w:hAnsi="仿宋" w:eastAsia="仿宋" w:cs="宋体"/>
                <w:kern w:val="0"/>
                <w:sz w:val="20"/>
                <w:szCs w:val="20"/>
                <w:lang w:val="en-US" w:eastAsia="zh-CN"/>
              </w:rPr>
              <w:t>获奖</w:t>
            </w:r>
          </w:p>
          <w:p>
            <w:pPr>
              <w:widowControl/>
              <w:jc w:val="center"/>
              <w:rPr>
                <w:rFonts w:hint="default" w:ascii="仿宋" w:hAnsi="仿宋" w:eastAsia="仿宋" w:cs="宋体"/>
                <w:kern w:val="0"/>
                <w:sz w:val="20"/>
                <w:szCs w:val="20"/>
                <w:lang w:val="en-US" w:eastAsia="zh-CN"/>
              </w:rPr>
            </w:pPr>
            <w:r>
              <w:rPr>
                <w:rFonts w:hint="eastAsia" w:ascii="仿宋" w:hAnsi="仿宋" w:eastAsia="仿宋" w:cs="宋体"/>
                <w:kern w:val="0"/>
                <w:sz w:val="20"/>
                <w:szCs w:val="20"/>
                <w:lang w:val="en-US" w:eastAsia="zh-CN"/>
              </w:rPr>
              <w:t>工程数</w:t>
            </w:r>
          </w:p>
        </w:tc>
        <w:tc>
          <w:tcPr>
            <w:tcW w:w="726" w:type="pct"/>
            <w:gridSpan w:val="2"/>
            <w:tcBorders>
              <w:top w:val="nil"/>
              <w:left w:val="nil"/>
              <w:bottom w:val="single" w:color="auto" w:sz="4" w:space="0"/>
              <w:right w:val="single" w:color="auto" w:sz="4" w:space="0"/>
            </w:tcBorders>
            <w:shd w:val="clear" w:color="auto" w:fill="auto"/>
            <w:vAlign w:val="center"/>
          </w:tcPr>
          <w:p>
            <w:pPr>
              <w:widowControl/>
              <w:jc w:val="center"/>
              <w:rPr>
                <w:rFonts w:hint="default" w:ascii="仿宋" w:hAnsi="仿宋" w:eastAsia="仿宋" w:cs="宋体"/>
                <w:kern w:val="0"/>
                <w:sz w:val="20"/>
                <w:szCs w:val="20"/>
                <w:lang w:val="en-US" w:eastAsia="zh-CN"/>
              </w:rPr>
            </w:pPr>
            <w:r>
              <w:rPr>
                <w:rFonts w:hint="eastAsia" w:ascii="仿宋" w:hAnsi="仿宋" w:eastAsia="仿宋" w:cs="宋体"/>
                <w:kern w:val="0"/>
                <w:sz w:val="20"/>
                <w:szCs w:val="20"/>
                <w:lang w:val="en-US" w:eastAsia="zh-CN"/>
              </w:rPr>
              <w:t>20</w:t>
            </w:r>
          </w:p>
        </w:tc>
        <w:tc>
          <w:tcPr>
            <w:tcW w:w="730" w:type="pct"/>
            <w:gridSpan w:val="2"/>
            <w:tcBorders>
              <w:top w:val="nil"/>
              <w:left w:val="nil"/>
              <w:bottom w:val="single" w:color="auto" w:sz="4" w:space="0"/>
              <w:right w:val="single" w:color="auto" w:sz="4" w:space="0"/>
            </w:tcBorders>
            <w:shd w:val="clear" w:color="auto" w:fill="auto"/>
            <w:vAlign w:val="center"/>
          </w:tcPr>
          <w:p>
            <w:pPr>
              <w:widowControl/>
              <w:jc w:val="center"/>
              <w:rPr>
                <w:rFonts w:hint="default" w:ascii="仿宋" w:hAnsi="仿宋" w:eastAsia="仿宋" w:cs="宋体"/>
                <w:kern w:val="0"/>
                <w:sz w:val="20"/>
                <w:szCs w:val="20"/>
                <w:lang w:val="en-US" w:eastAsia="zh-CN"/>
              </w:rPr>
            </w:pPr>
            <w:r>
              <w:rPr>
                <w:rFonts w:hint="eastAsia" w:ascii="仿宋" w:hAnsi="仿宋" w:eastAsia="仿宋" w:cs="宋体"/>
                <w:kern w:val="0"/>
                <w:sz w:val="20"/>
                <w:szCs w:val="20"/>
                <w:lang w:val="en-US" w:eastAsia="zh-CN"/>
              </w:rPr>
              <w:t>28</w:t>
            </w:r>
          </w:p>
        </w:tc>
        <w:tc>
          <w:tcPr>
            <w:tcW w:w="598" w:type="pct"/>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rPr>
            </w:pPr>
            <w:r>
              <w:rPr>
                <w:rFonts w:hint="eastAsia" w:ascii="仿宋" w:hAnsi="仿宋" w:eastAsia="仿宋" w:cs="宋体"/>
                <w:kern w:val="0"/>
                <w:sz w:val="20"/>
                <w:szCs w:val="20"/>
              </w:rPr>
              <w:t>2</w:t>
            </w:r>
          </w:p>
        </w:tc>
      </w:tr>
      <w:tr>
        <w:tblPrEx>
          <w:tblCellMar>
            <w:top w:w="0" w:type="dxa"/>
            <w:left w:w="108" w:type="dxa"/>
            <w:bottom w:w="0" w:type="dxa"/>
            <w:right w:w="108" w:type="dxa"/>
          </w:tblCellMar>
        </w:tblPrEx>
        <w:trPr>
          <w:trHeight w:val="499" w:hRule="atLeast"/>
        </w:trPr>
        <w:tc>
          <w:tcPr>
            <w:tcW w:w="340" w:type="pct"/>
            <w:vMerge w:val="continue"/>
            <w:tcBorders>
              <w:top w:val="nil"/>
              <w:left w:val="single" w:color="auto" w:sz="4" w:space="0"/>
              <w:bottom w:val="nil"/>
              <w:right w:val="single" w:color="auto" w:sz="4" w:space="0"/>
            </w:tcBorders>
            <w:vAlign w:val="center"/>
          </w:tcPr>
          <w:p>
            <w:pPr>
              <w:widowControl/>
              <w:jc w:val="left"/>
              <w:rPr>
                <w:rFonts w:ascii="仿宋" w:hAnsi="仿宋" w:eastAsia="仿宋" w:cs="宋体"/>
                <w:kern w:val="0"/>
                <w:sz w:val="20"/>
                <w:szCs w:val="20"/>
              </w:rPr>
            </w:pPr>
          </w:p>
        </w:tc>
        <w:tc>
          <w:tcPr>
            <w:tcW w:w="683" w:type="pct"/>
            <w:vMerge w:val="continue"/>
            <w:tcBorders>
              <w:top w:val="nil"/>
              <w:left w:val="single" w:color="auto" w:sz="4" w:space="0"/>
              <w:bottom w:val="single" w:color="000000" w:sz="4" w:space="0"/>
              <w:right w:val="single" w:color="auto" w:sz="4" w:space="0"/>
            </w:tcBorders>
            <w:vAlign w:val="center"/>
          </w:tcPr>
          <w:p>
            <w:pPr>
              <w:widowControl/>
              <w:jc w:val="left"/>
              <w:rPr>
                <w:rFonts w:ascii="仿宋" w:hAnsi="仿宋" w:eastAsia="仿宋" w:cs="宋体"/>
                <w:kern w:val="0"/>
                <w:sz w:val="20"/>
                <w:szCs w:val="20"/>
              </w:rPr>
            </w:pPr>
          </w:p>
        </w:tc>
        <w:tc>
          <w:tcPr>
            <w:tcW w:w="839" w:type="pct"/>
            <w:vMerge w:val="continue"/>
            <w:tcBorders>
              <w:left w:val="nil"/>
              <w:right w:val="single" w:color="auto" w:sz="4" w:space="0"/>
            </w:tcBorders>
            <w:shd w:val="clear" w:color="auto" w:fill="auto"/>
            <w:vAlign w:val="center"/>
          </w:tcPr>
          <w:p>
            <w:pPr>
              <w:jc w:val="center"/>
              <w:rPr>
                <w:rFonts w:ascii="仿宋" w:hAnsi="仿宋" w:eastAsia="仿宋" w:cs="宋体"/>
                <w:kern w:val="0"/>
                <w:sz w:val="20"/>
                <w:szCs w:val="20"/>
              </w:rPr>
            </w:pPr>
          </w:p>
        </w:tc>
        <w:tc>
          <w:tcPr>
            <w:tcW w:w="1079" w:type="pct"/>
            <w:tcBorders>
              <w:top w:val="nil"/>
              <w:left w:val="nil"/>
              <w:bottom w:val="single" w:color="auto" w:sz="4" w:space="0"/>
              <w:right w:val="single" w:color="auto" w:sz="4" w:space="0"/>
            </w:tcBorders>
            <w:shd w:val="clear" w:color="auto" w:fill="auto"/>
            <w:vAlign w:val="center"/>
          </w:tcPr>
          <w:p>
            <w:pPr>
              <w:widowControl/>
              <w:jc w:val="center"/>
              <w:rPr>
                <w:rFonts w:hint="default" w:ascii="仿宋" w:hAnsi="仿宋" w:eastAsia="仿宋" w:cs="宋体"/>
                <w:kern w:val="0"/>
                <w:sz w:val="20"/>
                <w:szCs w:val="20"/>
                <w:lang w:val="en-US" w:eastAsia="zh-CN"/>
              </w:rPr>
            </w:pPr>
            <w:r>
              <w:rPr>
                <w:rFonts w:hint="eastAsia" w:ascii="仿宋" w:hAnsi="仿宋" w:eastAsia="仿宋" w:cs="宋体"/>
                <w:kern w:val="0"/>
                <w:sz w:val="20"/>
                <w:szCs w:val="20"/>
                <w:lang w:val="en-US" w:eastAsia="zh-CN"/>
              </w:rPr>
              <w:t>推进海绵城市建设进度</w:t>
            </w:r>
          </w:p>
        </w:tc>
        <w:tc>
          <w:tcPr>
            <w:tcW w:w="726" w:type="pct"/>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rPr>
            </w:pPr>
            <w:r>
              <w:rPr>
                <w:rFonts w:hint="eastAsia" w:ascii="仿宋" w:hAnsi="仿宋" w:eastAsia="仿宋" w:cs="宋体"/>
                <w:kern w:val="0"/>
                <w:sz w:val="20"/>
                <w:szCs w:val="20"/>
              </w:rPr>
              <w:t>100%</w:t>
            </w:r>
          </w:p>
        </w:tc>
        <w:tc>
          <w:tcPr>
            <w:tcW w:w="730" w:type="pct"/>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rPr>
            </w:pPr>
            <w:r>
              <w:rPr>
                <w:rFonts w:hint="eastAsia" w:ascii="仿宋" w:hAnsi="仿宋" w:eastAsia="仿宋" w:cs="宋体"/>
                <w:kern w:val="0"/>
                <w:sz w:val="20"/>
                <w:szCs w:val="20"/>
              </w:rPr>
              <w:t>100%</w:t>
            </w:r>
          </w:p>
        </w:tc>
        <w:tc>
          <w:tcPr>
            <w:tcW w:w="598" w:type="pct"/>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rPr>
            </w:pPr>
            <w:r>
              <w:rPr>
                <w:rFonts w:hint="eastAsia" w:ascii="仿宋" w:hAnsi="仿宋" w:eastAsia="仿宋" w:cs="宋体"/>
                <w:kern w:val="0"/>
                <w:sz w:val="20"/>
                <w:szCs w:val="20"/>
              </w:rPr>
              <w:t>2</w:t>
            </w:r>
          </w:p>
        </w:tc>
      </w:tr>
      <w:tr>
        <w:tblPrEx>
          <w:tblCellMar>
            <w:top w:w="0" w:type="dxa"/>
            <w:left w:w="108" w:type="dxa"/>
            <w:bottom w:w="0" w:type="dxa"/>
            <w:right w:w="108" w:type="dxa"/>
          </w:tblCellMar>
        </w:tblPrEx>
        <w:trPr>
          <w:trHeight w:val="499" w:hRule="atLeast"/>
        </w:trPr>
        <w:tc>
          <w:tcPr>
            <w:tcW w:w="340" w:type="pct"/>
            <w:vMerge w:val="continue"/>
            <w:tcBorders>
              <w:top w:val="nil"/>
              <w:left w:val="single" w:color="auto" w:sz="4" w:space="0"/>
              <w:bottom w:val="nil"/>
              <w:right w:val="single" w:color="auto" w:sz="4" w:space="0"/>
            </w:tcBorders>
            <w:vAlign w:val="center"/>
          </w:tcPr>
          <w:p>
            <w:pPr>
              <w:widowControl/>
              <w:jc w:val="left"/>
              <w:rPr>
                <w:rFonts w:ascii="仿宋" w:hAnsi="仿宋" w:eastAsia="仿宋" w:cs="宋体"/>
                <w:kern w:val="0"/>
                <w:sz w:val="20"/>
                <w:szCs w:val="20"/>
              </w:rPr>
            </w:pPr>
          </w:p>
        </w:tc>
        <w:tc>
          <w:tcPr>
            <w:tcW w:w="683" w:type="pct"/>
            <w:vMerge w:val="continue"/>
            <w:tcBorders>
              <w:top w:val="nil"/>
              <w:left w:val="single" w:color="auto" w:sz="4" w:space="0"/>
              <w:bottom w:val="single" w:color="000000" w:sz="4" w:space="0"/>
              <w:right w:val="single" w:color="auto" w:sz="4" w:space="0"/>
            </w:tcBorders>
            <w:vAlign w:val="center"/>
          </w:tcPr>
          <w:p>
            <w:pPr>
              <w:widowControl/>
              <w:jc w:val="left"/>
              <w:rPr>
                <w:rFonts w:ascii="仿宋" w:hAnsi="仿宋" w:eastAsia="仿宋" w:cs="宋体"/>
                <w:kern w:val="0"/>
                <w:sz w:val="20"/>
                <w:szCs w:val="20"/>
              </w:rPr>
            </w:pPr>
          </w:p>
        </w:tc>
        <w:tc>
          <w:tcPr>
            <w:tcW w:w="839" w:type="pct"/>
            <w:vMerge w:val="continue"/>
            <w:tcBorders>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p>
        </w:tc>
        <w:tc>
          <w:tcPr>
            <w:tcW w:w="1079" w:type="pct"/>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rPr>
            </w:pPr>
            <w:r>
              <w:rPr>
                <w:rFonts w:hint="eastAsia" w:ascii="仿宋" w:hAnsi="仿宋" w:eastAsia="仿宋" w:cs="宋体"/>
                <w:kern w:val="0"/>
                <w:sz w:val="20"/>
                <w:szCs w:val="20"/>
              </w:rPr>
              <w:t>受监工程质量安全责任事故发生数</w:t>
            </w:r>
          </w:p>
        </w:tc>
        <w:tc>
          <w:tcPr>
            <w:tcW w:w="726" w:type="pct"/>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rPr>
            </w:pPr>
            <w:r>
              <w:rPr>
                <w:rFonts w:hint="eastAsia" w:ascii="仿宋" w:hAnsi="仿宋" w:eastAsia="仿宋" w:cs="宋体"/>
                <w:kern w:val="0"/>
                <w:sz w:val="20"/>
                <w:szCs w:val="20"/>
              </w:rPr>
              <w:t>0</w:t>
            </w:r>
          </w:p>
        </w:tc>
        <w:tc>
          <w:tcPr>
            <w:tcW w:w="730" w:type="pct"/>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lang w:eastAsia="zh-CN"/>
              </w:rPr>
            </w:pPr>
            <w:r>
              <w:rPr>
                <w:rFonts w:hint="eastAsia" w:ascii="仿宋" w:hAnsi="仿宋" w:eastAsia="仿宋" w:cs="宋体"/>
                <w:kern w:val="0"/>
                <w:sz w:val="20"/>
                <w:szCs w:val="20"/>
                <w:lang w:val="en-US" w:eastAsia="zh-CN"/>
              </w:rPr>
              <w:t>0</w:t>
            </w:r>
          </w:p>
        </w:tc>
        <w:tc>
          <w:tcPr>
            <w:tcW w:w="598" w:type="pct"/>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rPr>
            </w:pPr>
            <w:r>
              <w:rPr>
                <w:rFonts w:hint="eastAsia" w:ascii="仿宋" w:hAnsi="仿宋" w:eastAsia="仿宋" w:cs="宋体"/>
                <w:kern w:val="0"/>
                <w:sz w:val="20"/>
                <w:szCs w:val="20"/>
              </w:rPr>
              <w:t>2</w:t>
            </w:r>
          </w:p>
        </w:tc>
      </w:tr>
      <w:tr>
        <w:tblPrEx>
          <w:tblCellMar>
            <w:top w:w="0" w:type="dxa"/>
            <w:left w:w="108" w:type="dxa"/>
            <w:bottom w:w="0" w:type="dxa"/>
            <w:right w:w="108" w:type="dxa"/>
          </w:tblCellMar>
        </w:tblPrEx>
        <w:trPr>
          <w:trHeight w:val="499" w:hRule="atLeast"/>
        </w:trPr>
        <w:tc>
          <w:tcPr>
            <w:tcW w:w="340" w:type="pct"/>
            <w:vMerge w:val="continue"/>
            <w:tcBorders>
              <w:top w:val="nil"/>
              <w:left w:val="single" w:color="auto" w:sz="4" w:space="0"/>
              <w:bottom w:val="nil"/>
              <w:right w:val="single" w:color="auto" w:sz="4" w:space="0"/>
            </w:tcBorders>
            <w:vAlign w:val="center"/>
          </w:tcPr>
          <w:p>
            <w:pPr>
              <w:widowControl/>
              <w:jc w:val="left"/>
              <w:rPr>
                <w:rFonts w:ascii="仿宋" w:hAnsi="仿宋" w:eastAsia="仿宋" w:cs="宋体"/>
                <w:kern w:val="0"/>
                <w:sz w:val="20"/>
                <w:szCs w:val="20"/>
              </w:rPr>
            </w:pPr>
          </w:p>
        </w:tc>
        <w:tc>
          <w:tcPr>
            <w:tcW w:w="683"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效益指标（</w:t>
            </w:r>
            <w:r>
              <w:rPr>
                <w:rFonts w:hint="eastAsia" w:ascii="仿宋" w:hAnsi="仿宋" w:eastAsia="仿宋" w:cs="宋体"/>
                <w:kern w:val="0"/>
                <w:sz w:val="20"/>
                <w:szCs w:val="20"/>
                <w:lang w:val="en-US" w:eastAsia="zh-CN"/>
              </w:rPr>
              <w:t>5</w:t>
            </w:r>
            <w:r>
              <w:rPr>
                <w:rFonts w:hint="eastAsia" w:ascii="仿宋" w:hAnsi="仿宋" w:eastAsia="仿宋" w:cs="宋体"/>
                <w:kern w:val="0"/>
                <w:sz w:val="20"/>
                <w:szCs w:val="20"/>
              </w:rPr>
              <w:t>分）</w:t>
            </w:r>
          </w:p>
        </w:tc>
        <w:tc>
          <w:tcPr>
            <w:tcW w:w="839" w:type="pct"/>
            <w:vMerge w:val="restart"/>
            <w:tcBorders>
              <w:top w:val="nil"/>
              <w:left w:val="nil"/>
              <w:right w:val="single" w:color="auto" w:sz="4" w:space="0"/>
            </w:tcBorders>
            <w:shd w:val="clear" w:color="auto" w:fill="auto"/>
            <w:vAlign w:val="center"/>
          </w:tcPr>
          <w:p>
            <w:pPr>
              <w:widowControl/>
              <w:jc w:val="center"/>
              <w:rPr>
                <w:rFonts w:hint="eastAsia" w:ascii="仿宋" w:hAnsi="仿宋" w:eastAsia="仿宋" w:cs="宋体"/>
                <w:kern w:val="0"/>
                <w:sz w:val="20"/>
                <w:szCs w:val="20"/>
              </w:rPr>
            </w:pPr>
            <w:r>
              <w:rPr>
                <w:rFonts w:hint="eastAsia" w:ascii="仿宋" w:hAnsi="仿宋" w:eastAsia="仿宋" w:cs="宋体"/>
                <w:kern w:val="0"/>
                <w:sz w:val="20"/>
                <w:szCs w:val="20"/>
              </w:rPr>
              <w:t>社会效益</w:t>
            </w:r>
          </w:p>
          <w:p>
            <w:pPr>
              <w:widowControl/>
              <w:jc w:val="center"/>
              <w:rPr>
                <w:rFonts w:ascii="仿宋" w:hAnsi="仿宋" w:eastAsia="仿宋" w:cs="宋体"/>
                <w:kern w:val="0"/>
                <w:sz w:val="20"/>
                <w:szCs w:val="20"/>
              </w:rPr>
            </w:pPr>
            <w:r>
              <w:rPr>
                <w:rFonts w:hint="eastAsia" w:ascii="仿宋" w:hAnsi="仿宋" w:eastAsia="仿宋" w:cs="宋体"/>
                <w:kern w:val="0"/>
                <w:sz w:val="20"/>
                <w:szCs w:val="20"/>
              </w:rPr>
              <w:t>指标（</w:t>
            </w:r>
            <w:r>
              <w:rPr>
                <w:rFonts w:hint="eastAsia" w:ascii="仿宋" w:hAnsi="仿宋" w:eastAsia="仿宋" w:cs="宋体"/>
                <w:kern w:val="0"/>
                <w:sz w:val="20"/>
                <w:szCs w:val="20"/>
                <w:lang w:val="en-US" w:eastAsia="zh-CN"/>
              </w:rPr>
              <w:t>5</w:t>
            </w:r>
            <w:r>
              <w:rPr>
                <w:rFonts w:hint="eastAsia" w:ascii="仿宋" w:hAnsi="仿宋" w:eastAsia="仿宋" w:cs="宋体"/>
                <w:kern w:val="0"/>
                <w:sz w:val="20"/>
                <w:szCs w:val="20"/>
              </w:rPr>
              <w:t>分）</w:t>
            </w:r>
          </w:p>
        </w:tc>
        <w:tc>
          <w:tcPr>
            <w:tcW w:w="1079" w:type="pct"/>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rPr>
            </w:pPr>
            <w:r>
              <w:rPr>
                <w:rFonts w:hint="eastAsia" w:ascii="仿宋" w:hAnsi="仿宋" w:eastAsia="仿宋" w:cs="宋体"/>
                <w:kern w:val="0"/>
                <w:sz w:val="20"/>
                <w:szCs w:val="20"/>
              </w:rPr>
              <w:t>问题整改落实率</w:t>
            </w:r>
          </w:p>
        </w:tc>
        <w:tc>
          <w:tcPr>
            <w:tcW w:w="726" w:type="pct"/>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rPr>
            </w:pPr>
            <w:r>
              <w:rPr>
                <w:rFonts w:hint="eastAsia" w:ascii="仿宋" w:hAnsi="仿宋" w:eastAsia="仿宋" w:cs="宋体"/>
                <w:kern w:val="0"/>
                <w:sz w:val="20"/>
                <w:szCs w:val="20"/>
              </w:rPr>
              <w:t>100%</w:t>
            </w:r>
          </w:p>
        </w:tc>
        <w:tc>
          <w:tcPr>
            <w:tcW w:w="730" w:type="pct"/>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rPr>
            </w:pPr>
            <w:r>
              <w:rPr>
                <w:rFonts w:hint="eastAsia" w:ascii="仿宋" w:hAnsi="仿宋" w:eastAsia="仿宋" w:cs="宋体"/>
                <w:kern w:val="0"/>
                <w:sz w:val="20"/>
                <w:szCs w:val="20"/>
              </w:rPr>
              <w:t>100%</w:t>
            </w:r>
          </w:p>
        </w:tc>
        <w:tc>
          <w:tcPr>
            <w:tcW w:w="598" w:type="pct"/>
            <w:tcBorders>
              <w:top w:val="nil"/>
              <w:left w:val="nil"/>
              <w:bottom w:val="single" w:color="auto" w:sz="4" w:space="0"/>
              <w:right w:val="single" w:color="auto" w:sz="4" w:space="0"/>
            </w:tcBorders>
            <w:shd w:val="clear" w:color="auto" w:fill="auto"/>
            <w:vAlign w:val="center"/>
          </w:tcPr>
          <w:p>
            <w:pPr>
              <w:widowControl/>
              <w:jc w:val="center"/>
              <w:rPr>
                <w:rFonts w:hint="default" w:ascii="仿宋" w:hAnsi="仿宋" w:eastAsia="仿宋" w:cs="宋体"/>
                <w:kern w:val="0"/>
                <w:sz w:val="20"/>
                <w:szCs w:val="20"/>
                <w:lang w:val="en-US" w:eastAsia="zh-CN"/>
              </w:rPr>
            </w:pPr>
            <w:r>
              <w:rPr>
                <w:rFonts w:hint="eastAsia" w:ascii="仿宋" w:hAnsi="仿宋" w:eastAsia="仿宋" w:cs="宋体"/>
                <w:kern w:val="0"/>
                <w:sz w:val="20"/>
                <w:szCs w:val="20"/>
                <w:lang w:val="en-US" w:eastAsia="zh-CN"/>
              </w:rPr>
              <w:t>2.5</w:t>
            </w:r>
          </w:p>
        </w:tc>
      </w:tr>
      <w:tr>
        <w:tblPrEx>
          <w:tblCellMar>
            <w:top w:w="0" w:type="dxa"/>
            <w:left w:w="108" w:type="dxa"/>
            <w:bottom w:w="0" w:type="dxa"/>
            <w:right w:w="108" w:type="dxa"/>
          </w:tblCellMar>
        </w:tblPrEx>
        <w:trPr>
          <w:trHeight w:val="499" w:hRule="atLeast"/>
        </w:trPr>
        <w:tc>
          <w:tcPr>
            <w:tcW w:w="340" w:type="pct"/>
            <w:vMerge w:val="continue"/>
            <w:tcBorders>
              <w:top w:val="nil"/>
              <w:left w:val="single" w:color="auto" w:sz="4" w:space="0"/>
              <w:bottom w:val="nil"/>
              <w:right w:val="single" w:color="auto" w:sz="4" w:space="0"/>
            </w:tcBorders>
            <w:vAlign w:val="center"/>
          </w:tcPr>
          <w:p>
            <w:pPr>
              <w:widowControl/>
              <w:jc w:val="left"/>
              <w:rPr>
                <w:rFonts w:ascii="仿宋" w:hAnsi="仿宋" w:eastAsia="仿宋" w:cs="宋体"/>
                <w:kern w:val="0"/>
                <w:sz w:val="20"/>
                <w:szCs w:val="20"/>
              </w:rPr>
            </w:pPr>
          </w:p>
        </w:tc>
        <w:tc>
          <w:tcPr>
            <w:tcW w:w="683" w:type="pct"/>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0"/>
                <w:szCs w:val="20"/>
              </w:rPr>
            </w:pPr>
          </w:p>
        </w:tc>
        <w:tc>
          <w:tcPr>
            <w:tcW w:w="839" w:type="pct"/>
            <w:vMerge w:val="continue"/>
            <w:tcBorders>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p>
        </w:tc>
        <w:tc>
          <w:tcPr>
            <w:tcW w:w="1079" w:type="pct"/>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rPr>
            </w:pPr>
            <w:r>
              <w:rPr>
                <w:rFonts w:hint="eastAsia" w:ascii="仿宋" w:hAnsi="仿宋" w:eastAsia="仿宋" w:cs="宋体"/>
                <w:kern w:val="0"/>
                <w:sz w:val="20"/>
                <w:szCs w:val="20"/>
              </w:rPr>
              <w:t>建筑业可持续发展</w:t>
            </w:r>
          </w:p>
        </w:tc>
        <w:tc>
          <w:tcPr>
            <w:tcW w:w="726" w:type="pct"/>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rPr>
            </w:pPr>
            <w:r>
              <w:rPr>
                <w:rFonts w:hint="eastAsia" w:ascii="仿宋" w:hAnsi="仿宋" w:eastAsia="仿宋" w:cs="宋体"/>
                <w:kern w:val="0"/>
                <w:sz w:val="20"/>
                <w:szCs w:val="20"/>
              </w:rPr>
              <w:t>100%</w:t>
            </w:r>
          </w:p>
        </w:tc>
        <w:tc>
          <w:tcPr>
            <w:tcW w:w="730" w:type="pct"/>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rPr>
            </w:pPr>
            <w:r>
              <w:rPr>
                <w:rFonts w:hint="eastAsia" w:ascii="仿宋" w:hAnsi="仿宋" w:eastAsia="仿宋" w:cs="宋体"/>
                <w:kern w:val="0"/>
                <w:sz w:val="20"/>
                <w:szCs w:val="20"/>
                <w:lang w:val="en-US" w:eastAsia="zh-CN"/>
              </w:rPr>
              <w:t>100</w:t>
            </w:r>
            <w:r>
              <w:rPr>
                <w:rFonts w:hint="eastAsia" w:ascii="仿宋" w:hAnsi="仿宋" w:eastAsia="仿宋" w:cs="宋体"/>
                <w:kern w:val="0"/>
                <w:sz w:val="20"/>
                <w:szCs w:val="20"/>
              </w:rPr>
              <w:t>%</w:t>
            </w:r>
          </w:p>
        </w:tc>
        <w:tc>
          <w:tcPr>
            <w:tcW w:w="598" w:type="pct"/>
            <w:tcBorders>
              <w:top w:val="nil"/>
              <w:left w:val="nil"/>
              <w:bottom w:val="single" w:color="auto" w:sz="4" w:space="0"/>
              <w:right w:val="single" w:color="auto" w:sz="4" w:space="0"/>
            </w:tcBorders>
            <w:shd w:val="clear" w:color="auto" w:fill="auto"/>
            <w:vAlign w:val="center"/>
          </w:tcPr>
          <w:p>
            <w:pPr>
              <w:widowControl/>
              <w:jc w:val="center"/>
              <w:rPr>
                <w:rFonts w:hint="default" w:ascii="仿宋" w:hAnsi="仿宋" w:eastAsia="仿宋" w:cs="宋体"/>
                <w:kern w:val="0"/>
                <w:sz w:val="20"/>
                <w:szCs w:val="20"/>
                <w:lang w:val="en-US" w:eastAsia="zh-CN"/>
              </w:rPr>
            </w:pPr>
            <w:r>
              <w:rPr>
                <w:rFonts w:hint="eastAsia" w:ascii="仿宋" w:hAnsi="仿宋" w:eastAsia="仿宋" w:cs="宋体"/>
                <w:kern w:val="0"/>
                <w:sz w:val="20"/>
                <w:szCs w:val="20"/>
              </w:rPr>
              <w:t>2</w:t>
            </w:r>
            <w:r>
              <w:rPr>
                <w:rFonts w:hint="eastAsia" w:ascii="仿宋" w:hAnsi="仿宋" w:eastAsia="仿宋" w:cs="宋体"/>
                <w:kern w:val="0"/>
                <w:sz w:val="20"/>
                <w:szCs w:val="20"/>
                <w:lang w:val="en-US" w:eastAsia="zh-CN"/>
              </w:rPr>
              <w:t>.5</w:t>
            </w:r>
          </w:p>
        </w:tc>
      </w:tr>
      <w:tr>
        <w:tblPrEx>
          <w:tblCellMar>
            <w:top w:w="0" w:type="dxa"/>
            <w:left w:w="108" w:type="dxa"/>
            <w:bottom w:w="0" w:type="dxa"/>
            <w:right w:w="108" w:type="dxa"/>
          </w:tblCellMar>
        </w:tblPrEx>
        <w:trPr>
          <w:trHeight w:val="499" w:hRule="atLeast"/>
        </w:trPr>
        <w:tc>
          <w:tcPr>
            <w:tcW w:w="5000" w:type="pct"/>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仿宋" w:hAnsi="仿宋" w:eastAsia="仿宋" w:cs="宋体"/>
                <w:kern w:val="0"/>
                <w:sz w:val="20"/>
                <w:szCs w:val="20"/>
              </w:rPr>
            </w:pPr>
            <w:r>
              <w:rPr>
                <w:rFonts w:hint="eastAsia" w:ascii="仿宋" w:hAnsi="仿宋" w:eastAsia="仿宋" w:cs="宋体"/>
                <w:kern w:val="0"/>
                <w:sz w:val="20"/>
                <w:szCs w:val="20"/>
              </w:rPr>
              <w:t>年度目标3（</w:t>
            </w:r>
            <w:r>
              <w:rPr>
                <w:rFonts w:hint="eastAsia" w:ascii="仿宋" w:hAnsi="仿宋" w:eastAsia="仿宋" w:cs="宋体"/>
                <w:kern w:val="0"/>
                <w:sz w:val="20"/>
                <w:szCs w:val="20"/>
                <w:lang w:val="en-US" w:eastAsia="zh-CN"/>
              </w:rPr>
              <w:t>16</w:t>
            </w:r>
            <w:r>
              <w:rPr>
                <w:rFonts w:hint="eastAsia" w:ascii="仿宋" w:hAnsi="仿宋" w:eastAsia="仿宋" w:cs="宋体"/>
                <w:kern w:val="0"/>
                <w:sz w:val="20"/>
                <w:szCs w:val="20"/>
              </w:rPr>
              <w:t>分）:</w:t>
            </w:r>
            <w:r>
              <w:rPr>
                <w:color w:val="000000"/>
                <w:sz w:val="20"/>
                <w:szCs w:val="20"/>
              </w:rPr>
              <w:t xml:space="preserve"> </w:t>
            </w:r>
            <w:r>
              <w:rPr>
                <w:rFonts w:hint="eastAsia" w:ascii="仿宋" w:hAnsi="仿宋" w:eastAsia="仿宋" w:cs="宋体"/>
                <w:kern w:val="0"/>
                <w:sz w:val="20"/>
                <w:szCs w:val="20"/>
              </w:rPr>
              <w:t>进一步推进住房保障建设，不断完善房产管理规范化；切实加强房地产市场宏观调控工作，切实加强住宅小区物业管理工作，切实加强住房保障工作。</w:t>
            </w:r>
          </w:p>
        </w:tc>
      </w:tr>
      <w:tr>
        <w:tblPrEx>
          <w:tblCellMar>
            <w:top w:w="0" w:type="dxa"/>
            <w:left w:w="108" w:type="dxa"/>
            <w:bottom w:w="0" w:type="dxa"/>
            <w:right w:w="108" w:type="dxa"/>
          </w:tblCellMar>
        </w:tblPrEx>
        <w:trPr>
          <w:trHeight w:val="822" w:hRule="atLeast"/>
        </w:trPr>
        <w:tc>
          <w:tcPr>
            <w:tcW w:w="340"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年度绩效指标</w:t>
            </w:r>
          </w:p>
        </w:tc>
        <w:tc>
          <w:tcPr>
            <w:tcW w:w="683" w:type="pct"/>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lang w:eastAsia="zh-CN"/>
              </w:rPr>
            </w:pPr>
            <w:r>
              <w:rPr>
                <w:rFonts w:hint="eastAsia" w:ascii="仿宋" w:hAnsi="仿宋" w:eastAsia="仿宋" w:cs="宋体"/>
                <w:kern w:val="0"/>
                <w:sz w:val="20"/>
                <w:szCs w:val="20"/>
              </w:rPr>
              <w:t>一级</w:t>
            </w:r>
          </w:p>
          <w:p>
            <w:pPr>
              <w:widowControl/>
              <w:jc w:val="center"/>
              <w:rPr>
                <w:rFonts w:ascii="仿宋" w:hAnsi="仿宋" w:eastAsia="仿宋" w:cs="宋体"/>
                <w:kern w:val="0"/>
                <w:sz w:val="20"/>
                <w:szCs w:val="20"/>
              </w:rPr>
            </w:pPr>
            <w:r>
              <w:rPr>
                <w:rFonts w:hint="eastAsia" w:ascii="仿宋" w:hAnsi="仿宋" w:eastAsia="仿宋" w:cs="宋体"/>
                <w:kern w:val="0"/>
                <w:sz w:val="20"/>
                <w:szCs w:val="20"/>
              </w:rPr>
              <w:t>指标</w:t>
            </w:r>
          </w:p>
        </w:tc>
        <w:tc>
          <w:tcPr>
            <w:tcW w:w="839" w:type="pct"/>
            <w:tcBorders>
              <w:top w:val="nil"/>
              <w:left w:val="nil"/>
              <w:bottom w:val="single" w:color="auto" w:sz="4" w:space="0"/>
              <w:right w:val="single" w:color="auto" w:sz="4" w:space="0"/>
            </w:tcBorders>
            <w:shd w:val="clear" w:color="auto" w:fill="auto"/>
            <w:noWrap/>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二级指标</w:t>
            </w:r>
          </w:p>
        </w:tc>
        <w:tc>
          <w:tcPr>
            <w:tcW w:w="1079"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指标名称</w:t>
            </w:r>
          </w:p>
        </w:tc>
        <w:tc>
          <w:tcPr>
            <w:tcW w:w="726" w:type="pct"/>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rPr>
            </w:pPr>
            <w:r>
              <w:rPr>
                <w:rFonts w:hint="eastAsia" w:ascii="仿宋" w:hAnsi="仿宋" w:eastAsia="仿宋" w:cs="宋体"/>
                <w:kern w:val="0"/>
                <w:sz w:val="20"/>
                <w:szCs w:val="20"/>
              </w:rPr>
              <w:t>年初</w:t>
            </w:r>
          </w:p>
          <w:p>
            <w:pPr>
              <w:widowControl/>
              <w:jc w:val="center"/>
              <w:rPr>
                <w:rFonts w:ascii="仿宋" w:hAnsi="仿宋" w:eastAsia="仿宋" w:cs="宋体"/>
                <w:kern w:val="0"/>
                <w:sz w:val="20"/>
                <w:szCs w:val="20"/>
              </w:rPr>
            </w:pPr>
            <w:r>
              <w:rPr>
                <w:rFonts w:hint="eastAsia" w:ascii="仿宋" w:hAnsi="仿宋" w:eastAsia="仿宋" w:cs="宋体"/>
                <w:kern w:val="0"/>
                <w:sz w:val="20"/>
                <w:szCs w:val="20"/>
              </w:rPr>
              <w:t>指标值</w:t>
            </w:r>
          </w:p>
        </w:tc>
        <w:tc>
          <w:tcPr>
            <w:tcW w:w="730" w:type="pct"/>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rPr>
            </w:pPr>
            <w:r>
              <w:rPr>
                <w:rFonts w:hint="eastAsia" w:ascii="仿宋" w:hAnsi="仿宋" w:eastAsia="仿宋" w:cs="宋体"/>
                <w:kern w:val="0"/>
                <w:sz w:val="20"/>
                <w:szCs w:val="20"/>
              </w:rPr>
              <w:t>实际</w:t>
            </w:r>
          </w:p>
          <w:p>
            <w:pPr>
              <w:widowControl/>
              <w:jc w:val="center"/>
              <w:rPr>
                <w:rFonts w:ascii="仿宋" w:hAnsi="仿宋" w:eastAsia="仿宋" w:cs="宋体"/>
                <w:kern w:val="0"/>
                <w:sz w:val="20"/>
                <w:szCs w:val="20"/>
              </w:rPr>
            </w:pPr>
            <w:r>
              <w:rPr>
                <w:rFonts w:hint="eastAsia" w:ascii="仿宋" w:hAnsi="仿宋" w:eastAsia="仿宋" w:cs="宋体"/>
                <w:kern w:val="0"/>
                <w:sz w:val="20"/>
                <w:szCs w:val="20"/>
              </w:rPr>
              <w:t>完成值</w:t>
            </w:r>
          </w:p>
        </w:tc>
        <w:tc>
          <w:tcPr>
            <w:tcW w:w="598"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得分</w:t>
            </w:r>
          </w:p>
        </w:tc>
      </w:tr>
      <w:tr>
        <w:tblPrEx>
          <w:tblCellMar>
            <w:top w:w="0" w:type="dxa"/>
            <w:left w:w="108" w:type="dxa"/>
            <w:bottom w:w="0" w:type="dxa"/>
            <w:right w:w="108" w:type="dxa"/>
          </w:tblCellMar>
        </w:tblPrEx>
        <w:trPr>
          <w:trHeight w:val="499" w:hRule="atLeast"/>
        </w:trPr>
        <w:tc>
          <w:tcPr>
            <w:tcW w:w="340" w:type="pct"/>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0"/>
                <w:szCs w:val="20"/>
              </w:rPr>
            </w:pPr>
          </w:p>
        </w:tc>
        <w:tc>
          <w:tcPr>
            <w:tcW w:w="683"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产出指标（</w:t>
            </w:r>
            <w:r>
              <w:rPr>
                <w:rFonts w:hint="eastAsia" w:ascii="仿宋" w:hAnsi="仿宋" w:eastAsia="仿宋" w:cs="宋体"/>
                <w:kern w:val="0"/>
                <w:sz w:val="20"/>
                <w:szCs w:val="20"/>
                <w:lang w:val="en-US" w:eastAsia="zh-CN"/>
              </w:rPr>
              <w:t>12</w:t>
            </w:r>
            <w:r>
              <w:rPr>
                <w:rFonts w:hint="eastAsia" w:ascii="仿宋" w:hAnsi="仿宋" w:eastAsia="仿宋" w:cs="宋体"/>
                <w:kern w:val="0"/>
                <w:sz w:val="20"/>
                <w:szCs w:val="20"/>
              </w:rPr>
              <w:t>分）</w:t>
            </w:r>
          </w:p>
        </w:tc>
        <w:tc>
          <w:tcPr>
            <w:tcW w:w="839" w:type="pct"/>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rPr>
            </w:pPr>
            <w:r>
              <w:rPr>
                <w:rFonts w:hint="eastAsia" w:ascii="仿宋" w:hAnsi="仿宋" w:eastAsia="仿宋" w:cs="宋体"/>
                <w:kern w:val="0"/>
                <w:sz w:val="20"/>
                <w:szCs w:val="20"/>
              </w:rPr>
              <w:t>数量指标</w:t>
            </w:r>
          </w:p>
          <w:p>
            <w:pPr>
              <w:widowControl/>
              <w:jc w:val="center"/>
              <w:rPr>
                <w:rFonts w:ascii="仿宋" w:hAnsi="仿宋" w:eastAsia="仿宋" w:cs="宋体"/>
                <w:kern w:val="0"/>
                <w:sz w:val="20"/>
                <w:szCs w:val="20"/>
              </w:rPr>
            </w:pPr>
            <w:r>
              <w:rPr>
                <w:rFonts w:hint="eastAsia" w:ascii="仿宋" w:hAnsi="仿宋" w:eastAsia="仿宋" w:cs="宋体"/>
                <w:kern w:val="0"/>
                <w:sz w:val="20"/>
                <w:szCs w:val="20"/>
              </w:rPr>
              <w:t>（</w:t>
            </w:r>
            <w:r>
              <w:rPr>
                <w:rFonts w:hint="eastAsia" w:ascii="仿宋" w:hAnsi="仿宋" w:eastAsia="仿宋" w:cs="宋体"/>
                <w:kern w:val="0"/>
                <w:sz w:val="20"/>
                <w:szCs w:val="20"/>
                <w:lang w:val="en-US" w:eastAsia="zh-CN"/>
              </w:rPr>
              <w:t>4</w:t>
            </w:r>
            <w:r>
              <w:rPr>
                <w:rFonts w:hint="eastAsia" w:ascii="仿宋" w:hAnsi="仿宋" w:eastAsia="仿宋" w:cs="宋体"/>
                <w:kern w:val="0"/>
                <w:sz w:val="20"/>
                <w:szCs w:val="20"/>
              </w:rPr>
              <w:t>分）</w:t>
            </w:r>
          </w:p>
        </w:tc>
        <w:tc>
          <w:tcPr>
            <w:tcW w:w="1079" w:type="pct"/>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rPr>
            </w:pPr>
            <w:r>
              <w:rPr>
                <w:rFonts w:hint="eastAsia" w:ascii="仿宋" w:hAnsi="仿宋" w:eastAsia="仿宋" w:cs="宋体"/>
                <w:kern w:val="0"/>
                <w:sz w:val="20"/>
                <w:szCs w:val="20"/>
              </w:rPr>
              <w:t>保障房目标达标率</w:t>
            </w:r>
          </w:p>
        </w:tc>
        <w:tc>
          <w:tcPr>
            <w:tcW w:w="726" w:type="pct"/>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rPr>
            </w:pPr>
            <w:r>
              <w:rPr>
                <w:rFonts w:hint="eastAsia" w:ascii="仿宋" w:hAnsi="仿宋" w:eastAsia="仿宋" w:cs="宋体"/>
                <w:kern w:val="0"/>
                <w:sz w:val="20"/>
                <w:szCs w:val="20"/>
              </w:rPr>
              <w:t>100%</w:t>
            </w:r>
          </w:p>
        </w:tc>
        <w:tc>
          <w:tcPr>
            <w:tcW w:w="730" w:type="pct"/>
            <w:gridSpan w:val="2"/>
            <w:tcBorders>
              <w:top w:val="nil"/>
              <w:left w:val="nil"/>
              <w:bottom w:val="single" w:color="auto" w:sz="4" w:space="0"/>
              <w:right w:val="single" w:color="auto" w:sz="4" w:space="0"/>
            </w:tcBorders>
            <w:shd w:val="clear" w:color="auto" w:fill="auto"/>
            <w:vAlign w:val="center"/>
          </w:tcPr>
          <w:p>
            <w:pPr>
              <w:widowControl/>
              <w:jc w:val="center"/>
              <w:rPr>
                <w:rFonts w:hint="default" w:ascii="仿宋" w:hAnsi="仿宋" w:eastAsia="仿宋" w:cs="宋体"/>
                <w:kern w:val="0"/>
                <w:sz w:val="20"/>
                <w:szCs w:val="20"/>
                <w:lang w:val="en-US" w:eastAsia="zh-CN"/>
              </w:rPr>
            </w:pPr>
            <w:r>
              <w:rPr>
                <w:rFonts w:hint="eastAsia" w:ascii="仿宋" w:hAnsi="仿宋" w:eastAsia="仿宋" w:cs="宋体"/>
                <w:kern w:val="0"/>
                <w:sz w:val="20"/>
                <w:szCs w:val="20"/>
                <w:lang w:val="en-US" w:eastAsia="zh-CN"/>
              </w:rPr>
              <w:t>100%</w:t>
            </w:r>
          </w:p>
        </w:tc>
        <w:tc>
          <w:tcPr>
            <w:tcW w:w="598" w:type="pct"/>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lang w:val="en-US" w:eastAsia="zh-CN"/>
              </w:rPr>
            </w:pPr>
            <w:r>
              <w:rPr>
                <w:rFonts w:hint="eastAsia" w:ascii="仿宋" w:hAnsi="仿宋" w:eastAsia="仿宋" w:cs="宋体"/>
                <w:kern w:val="0"/>
                <w:sz w:val="20"/>
                <w:szCs w:val="20"/>
                <w:lang w:val="en-US" w:eastAsia="zh-CN"/>
              </w:rPr>
              <w:t>4</w:t>
            </w:r>
          </w:p>
        </w:tc>
      </w:tr>
      <w:tr>
        <w:tblPrEx>
          <w:tblCellMar>
            <w:top w:w="0" w:type="dxa"/>
            <w:left w:w="108" w:type="dxa"/>
            <w:bottom w:w="0" w:type="dxa"/>
            <w:right w:w="108" w:type="dxa"/>
          </w:tblCellMar>
        </w:tblPrEx>
        <w:trPr>
          <w:trHeight w:val="499" w:hRule="atLeast"/>
        </w:trPr>
        <w:tc>
          <w:tcPr>
            <w:tcW w:w="340" w:type="pct"/>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0"/>
                <w:szCs w:val="20"/>
              </w:rPr>
            </w:pPr>
          </w:p>
        </w:tc>
        <w:tc>
          <w:tcPr>
            <w:tcW w:w="683" w:type="pct"/>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0"/>
                <w:szCs w:val="20"/>
              </w:rPr>
            </w:pPr>
          </w:p>
        </w:tc>
        <w:tc>
          <w:tcPr>
            <w:tcW w:w="839" w:type="pct"/>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rPr>
            </w:pPr>
            <w:r>
              <w:rPr>
                <w:rFonts w:hint="eastAsia" w:ascii="仿宋" w:hAnsi="仿宋" w:eastAsia="仿宋" w:cs="宋体"/>
                <w:kern w:val="0"/>
                <w:sz w:val="20"/>
                <w:szCs w:val="20"/>
              </w:rPr>
              <w:t>数量指标</w:t>
            </w:r>
          </w:p>
          <w:p>
            <w:pPr>
              <w:widowControl/>
              <w:jc w:val="center"/>
              <w:rPr>
                <w:rFonts w:ascii="仿宋" w:hAnsi="仿宋" w:eastAsia="仿宋" w:cs="宋体"/>
                <w:kern w:val="0"/>
                <w:sz w:val="20"/>
                <w:szCs w:val="20"/>
              </w:rPr>
            </w:pPr>
            <w:r>
              <w:rPr>
                <w:rFonts w:hint="eastAsia" w:ascii="仿宋" w:hAnsi="仿宋" w:eastAsia="仿宋" w:cs="宋体"/>
                <w:kern w:val="0"/>
                <w:sz w:val="20"/>
                <w:szCs w:val="20"/>
              </w:rPr>
              <w:t>（</w:t>
            </w:r>
            <w:r>
              <w:rPr>
                <w:rFonts w:hint="eastAsia" w:ascii="仿宋" w:hAnsi="仿宋" w:eastAsia="仿宋" w:cs="宋体"/>
                <w:kern w:val="0"/>
                <w:sz w:val="20"/>
                <w:szCs w:val="20"/>
                <w:lang w:val="en-US" w:eastAsia="zh-CN"/>
              </w:rPr>
              <w:t>4</w:t>
            </w:r>
            <w:r>
              <w:rPr>
                <w:rFonts w:hint="eastAsia" w:ascii="仿宋" w:hAnsi="仿宋" w:eastAsia="仿宋" w:cs="宋体"/>
                <w:kern w:val="0"/>
                <w:sz w:val="20"/>
                <w:szCs w:val="20"/>
              </w:rPr>
              <w:t>分）</w:t>
            </w:r>
          </w:p>
        </w:tc>
        <w:tc>
          <w:tcPr>
            <w:tcW w:w="1079" w:type="pct"/>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rPr>
            </w:pPr>
            <w:r>
              <w:rPr>
                <w:rFonts w:hint="eastAsia" w:ascii="仿宋" w:hAnsi="仿宋" w:eastAsia="仿宋" w:cs="宋体"/>
                <w:kern w:val="0"/>
                <w:sz w:val="20"/>
                <w:szCs w:val="20"/>
                <w:lang w:val="en-US" w:eastAsia="zh-CN"/>
              </w:rPr>
              <w:t>保</w:t>
            </w:r>
            <w:r>
              <w:rPr>
                <w:rFonts w:hint="eastAsia" w:ascii="仿宋" w:hAnsi="仿宋" w:eastAsia="仿宋" w:cs="宋体"/>
                <w:kern w:val="0"/>
                <w:sz w:val="20"/>
                <w:szCs w:val="20"/>
              </w:rPr>
              <w:t>租房保障机制</w:t>
            </w:r>
          </w:p>
          <w:p>
            <w:pPr>
              <w:widowControl/>
              <w:jc w:val="center"/>
              <w:rPr>
                <w:rFonts w:hint="eastAsia" w:ascii="仿宋" w:hAnsi="仿宋" w:eastAsia="仿宋" w:cs="宋体"/>
                <w:kern w:val="0"/>
                <w:sz w:val="20"/>
                <w:szCs w:val="20"/>
              </w:rPr>
            </w:pPr>
            <w:r>
              <w:rPr>
                <w:rFonts w:hint="eastAsia" w:ascii="仿宋" w:hAnsi="仿宋" w:eastAsia="仿宋" w:cs="宋体"/>
                <w:kern w:val="0"/>
                <w:sz w:val="20"/>
                <w:szCs w:val="20"/>
              </w:rPr>
              <w:t>落实率</w:t>
            </w:r>
          </w:p>
        </w:tc>
        <w:tc>
          <w:tcPr>
            <w:tcW w:w="726" w:type="pct"/>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rPr>
            </w:pPr>
            <w:r>
              <w:rPr>
                <w:rFonts w:hint="eastAsia" w:ascii="仿宋" w:hAnsi="仿宋" w:eastAsia="仿宋" w:cs="宋体"/>
                <w:kern w:val="0"/>
                <w:sz w:val="20"/>
                <w:szCs w:val="20"/>
              </w:rPr>
              <w:t>100%</w:t>
            </w:r>
          </w:p>
        </w:tc>
        <w:tc>
          <w:tcPr>
            <w:tcW w:w="730" w:type="pct"/>
            <w:gridSpan w:val="2"/>
            <w:tcBorders>
              <w:top w:val="nil"/>
              <w:left w:val="nil"/>
              <w:bottom w:val="single" w:color="auto" w:sz="4" w:space="0"/>
              <w:right w:val="single" w:color="auto" w:sz="4" w:space="0"/>
            </w:tcBorders>
            <w:shd w:val="clear" w:color="auto" w:fill="auto"/>
            <w:vAlign w:val="center"/>
          </w:tcPr>
          <w:p>
            <w:pPr>
              <w:widowControl/>
              <w:jc w:val="center"/>
              <w:rPr>
                <w:rFonts w:hint="default" w:ascii="仿宋" w:hAnsi="仿宋" w:eastAsia="仿宋" w:cs="宋体"/>
                <w:kern w:val="0"/>
                <w:sz w:val="20"/>
                <w:szCs w:val="20"/>
                <w:lang w:val="en-US" w:eastAsia="zh-CN"/>
              </w:rPr>
            </w:pPr>
            <w:r>
              <w:rPr>
                <w:rFonts w:hint="eastAsia" w:ascii="仿宋" w:hAnsi="仿宋" w:eastAsia="仿宋" w:cs="宋体"/>
                <w:kern w:val="0"/>
                <w:sz w:val="20"/>
                <w:szCs w:val="20"/>
                <w:lang w:val="en-US" w:eastAsia="zh-CN"/>
              </w:rPr>
              <w:t>有待提升</w:t>
            </w:r>
          </w:p>
        </w:tc>
        <w:tc>
          <w:tcPr>
            <w:tcW w:w="598" w:type="pct"/>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lang w:val="en-US" w:eastAsia="zh-CN"/>
              </w:rPr>
            </w:pPr>
            <w:r>
              <w:rPr>
                <w:rFonts w:hint="eastAsia" w:ascii="仿宋" w:hAnsi="仿宋" w:eastAsia="仿宋" w:cs="宋体"/>
                <w:kern w:val="0"/>
                <w:sz w:val="20"/>
                <w:szCs w:val="20"/>
                <w:lang w:val="en-US" w:eastAsia="zh-CN"/>
              </w:rPr>
              <w:t>3</w:t>
            </w:r>
          </w:p>
        </w:tc>
      </w:tr>
      <w:tr>
        <w:tblPrEx>
          <w:tblCellMar>
            <w:top w:w="0" w:type="dxa"/>
            <w:left w:w="108" w:type="dxa"/>
            <w:bottom w:w="0" w:type="dxa"/>
            <w:right w:w="108" w:type="dxa"/>
          </w:tblCellMar>
        </w:tblPrEx>
        <w:trPr>
          <w:trHeight w:val="499" w:hRule="atLeast"/>
        </w:trPr>
        <w:tc>
          <w:tcPr>
            <w:tcW w:w="340" w:type="pct"/>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0"/>
                <w:szCs w:val="20"/>
              </w:rPr>
            </w:pPr>
          </w:p>
        </w:tc>
        <w:tc>
          <w:tcPr>
            <w:tcW w:w="683" w:type="pct"/>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0"/>
                <w:szCs w:val="20"/>
              </w:rPr>
            </w:pPr>
          </w:p>
        </w:tc>
        <w:tc>
          <w:tcPr>
            <w:tcW w:w="839" w:type="pct"/>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rPr>
            </w:pPr>
            <w:r>
              <w:rPr>
                <w:rFonts w:hint="eastAsia" w:ascii="仿宋" w:hAnsi="仿宋" w:eastAsia="仿宋" w:cs="宋体"/>
                <w:kern w:val="0"/>
                <w:sz w:val="20"/>
                <w:szCs w:val="20"/>
              </w:rPr>
              <w:t>质量指标</w:t>
            </w:r>
          </w:p>
          <w:p>
            <w:pPr>
              <w:widowControl/>
              <w:jc w:val="center"/>
              <w:rPr>
                <w:rFonts w:ascii="仿宋" w:hAnsi="仿宋" w:eastAsia="仿宋" w:cs="宋体"/>
                <w:kern w:val="0"/>
                <w:sz w:val="20"/>
                <w:szCs w:val="20"/>
              </w:rPr>
            </w:pPr>
            <w:r>
              <w:rPr>
                <w:rFonts w:hint="eastAsia" w:ascii="仿宋" w:hAnsi="仿宋" w:eastAsia="仿宋" w:cs="宋体"/>
                <w:kern w:val="0"/>
                <w:sz w:val="20"/>
                <w:szCs w:val="20"/>
              </w:rPr>
              <w:t>（</w:t>
            </w:r>
            <w:r>
              <w:rPr>
                <w:rFonts w:hint="eastAsia" w:ascii="仿宋" w:hAnsi="仿宋" w:eastAsia="仿宋" w:cs="宋体"/>
                <w:kern w:val="0"/>
                <w:sz w:val="20"/>
                <w:szCs w:val="20"/>
                <w:lang w:val="en-US" w:eastAsia="zh-CN"/>
              </w:rPr>
              <w:t>4</w:t>
            </w:r>
            <w:r>
              <w:rPr>
                <w:rFonts w:hint="eastAsia" w:ascii="仿宋" w:hAnsi="仿宋" w:eastAsia="仿宋" w:cs="宋体"/>
                <w:kern w:val="0"/>
                <w:sz w:val="20"/>
                <w:szCs w:val="20"/>
              </w:rPr>
              <w:t>分）</w:t>
            </w:r>
          </w:p>
        </w:tc>
        <w:tc>
          <w:tcPr>
            <w:tcW w:w="1079" w:type="pct"/>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rPr>
            </w:pPr>
            <w:r>
              <w:rPr>
                <w:rFonts w:hint="eastAsia" w:ascii="仿宋" w:hAnsi="仿宋" w:eastAsia="仿宋" w:cs="宋体"/>
                <w:kern w:val="0"/>
                <w:sz w:val="20"/>
                <w:szCs w:val="20"/>
              </w:rPr>
              <w:t>房地产经纪机构备案率提升度</w:t>
            </w:r>
          </w:p>
        </w:tc>
        <w:tc>
          <w:tcPr>
            <w:tcW w:w="726" w:type="pct"/>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rPr>
            </w:pPr>
            <w:r>
              <w:rPr>
                <w:rFonts w:hint="eastAsia" w:ascii="仿宋" w:hAnsi="仿宋" w:eastAsia="仿宋" w:cs="宋体"/>
                <w:kern w:val="0"/>
                <w:sz w:val="20"/>
                <w:szCs w:val="20"/>
              </w:rPr>
              <w:t>100%</w:t>
            </w:r>
          </w:p>
        </w:tc>
        <w:tc>
          <w:tcPr>
            <w:tcW w:w="730" w:type="pct"/>
            <w:gridSpan w:val="2"/>
            <w:tcBorders>
              <w:top w:val="nil"/>
              <w:left w:val="nil"/>
              <w:bottom w:val="single" w:color="auto" w:sz="4" w:space="0"/>
              <w:right w:val="single" w:color="auto" w:sz="4" w:space="0"/>
            </w:tcBorders>
            <w:shd w:val="clear" w:color="auto" w:fill="auto"/>
            <w:vAlign w:val="center"/>
          </w:tcPr>
          <w:p>
            <w:pPr>
              <w:widowControl/>
              <w:jc w:val="center"/>
              <w:rPr>
                <w:rFonts w:hint="default" w:ascii="仿宋" w:hAnsi="仿宋" w:eastAsia="仿宋" w:cs="宋体"/>
                <w:kern w:val="0"/>
                <w:sz w:val="20"/>
                <w:szCs w:val="20"/>
                <w:lang w:val="en-US" w:eastAsia="zh-CN"/>
              </w:rPr>
            </w:pPr>
            <w:r>
              <w:rPr>
                <w:rFonts w:hint="eastAsia" w:ascii="仿宋" w:hAnsi="仿宋" w:eastAsia="仿宋" w:cs="宋体"/>
                <w:kern w:val="0"/>
                <w:sz w:val="20"/>
                <w:szCs w:val="20"/>
                <w:lang w:val="en-US" w:eastAsia="zh-CN"/>
              </w:rPr>
              <w:t>100%</w:t>
            </w:r>
          </w:p>
        </w:tc>
        <w:tc>
          <w:tcPr>
            <w:tcW w:w="598" w:type="pct"/>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lang w:val="en-US" w:eastAsia="zh-CN"/>
              </w:rPr>
            </w:pPr>
            <w:r>
              <w:rPr>
                <w:rFonts w:hint="eastAsia" w:ascii="仿宋" w:hAnsi="仿宋" w:eastAsia="仿宋" w:cs="宋体"/>
                <w:kern w:val="0"/>
                <w:sz w:val="20"/>
                <w:szCs w:val="20"/>
                <w:lang w:val="en-US" w:eastAsia="zh-CN"/>
              </w:rPr>
              <w:t>4</w:t>
            </w:r>
          </w:p>
        </w:tc>
      </w:tr>
      <w:tr>
        <w:tblPrEx>
          <w:tblCellMar>
            <w:top w:w="0" w:type="dxa"/>
            <w:left w:w="108" w:type="dxa"/>
            <w:bottom w:w="0" w:type="dxa"/>
            <w:right w:w="108" w:type="dxa"/>
          </w:tblCellMar>
        </w:tblPrEx>
        <w:trPr>
          <w:trHeight w:val="499" w:hRule="atLeast"/>
        </w:trPr>
        <w:tc>
          <w:tcPr>
            <w:tcW w:w="340" w:type="pct"/>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0"/>
                <w:szCs w:val="20"/>
              </w:rPr>
            </w:pPr>
          </w:p>
        </w:tc>
        <w:tc>
          <w:tcPr>
            <w:tcW w:w="683" w:type="pc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效益指标（</w:t>
            </w:r>
            <w:r>
              <w:rPr>
                <w:rFonts w:hint="eastAsia" w:ascii="仿宋" w:hAnsi="仿宋" w:eastAsia="仿宋" w:cs="宋体"/>
                <w:kern w:val="0"/>
                <w:sz w:val="20"/>
                <w:szCs w:val="20"/>
                <w:lang w:val="en-US" w:eastAsia="zh-CN"/>
              </w:rPr>
              <w:t>4</w:t>
            </w:r>
            <w:r>
              <w:rPr>
                <w:rFonts w:hint="eastAsia" w:ascii="仿宋" w:hAnsi="仿宋" w:eastAsia="仿宋" w:cs="宋体"/>
                <w:kern w:val="0"/>
                <w:sz w:val="20"/>
                <w:szCs w:val="20"/>
              </w:rPr>
              <w:t>分）</w:t>
            </w:r>
          </w:p>
        </w:tc>
        <w:tc>
          <w:tcPr>
            <w:tcW w:w="839" w:type="pct"/>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rPr>
            </w:pPr>
            <w:r>
              <w:rPr>
                <w:rFonts w:hint="eastAsia" w:ascii="仿宋" w:hAnsi="仿宋" w:eastAsia="仿宋" w:cs="宋体"/>
                <w:kern w:val="0"/>
                <w:sz w:val="20"/>
                <w:szCs w:val="20"/>
              </w:rPr>
              <w:t>社会效益</w:t>
            </w:r>
          </w:p>
          <w:p>
            <w:pPr>
              <w:widowControl/>
              <w:jc w:val="center"/>
              <w:rPr>
                <w:rFonts w:ascii="仿宋" w:hAnsi="仿宋" w:eastAsia="仿宋" w:cs="宋体"/>
                <w:kern w:val="0"/>
                <w:sz w:val="20"/>
                <w:szCs w:val="20"/>
                <w:lang w:val="en-US" w:eastAsia="zh-CN" w:bidi="ar-SA"/>
              </w:rPr>
            </w:pPr>
            <w:r>
              <w:rPr>
                <w:rFonts w:hint="eastAsia" w:ascii="仿宋" w:hAnsi="仿宋" w:eastAsia="仿宋" w:cs="宋体"/>
                <w:kern w:val="0"/>
                <w:sz w:val="20"/>
                <w:szCs w:val="20"/>
              </w:rPr>
              <w:t>指标（</w:t>
            </w:r>
            <w:r>
              <w:rPr>
                <w:rFonts w:hint="eastAsia" w:ascii="仿宋" w:hAnsi="仿宋" w:eastAsia="仿宋" w:cs="宋体"/>
                <w:kern w:val="0"/>
                <w:sz w:val="20"/>
                <w:szCs w:val="20"/>
                <w:lang w:val="en-US" w:eastAsia="zh-CN"/>
              </w:rPr>
              <w:t>4</w:t>
            </w:r>
            <w:r>
              <w:rPr>
                <w:rFonts w:hint="eastAsia" w:ascii="仿宋" w:hAnsi="仿宋" w:eastAsia="仿宋" w:cs="宋体"/>
                <w:kern w:val="0"/>
                <w:sz w:val="20"/>
                <w:szCs w:val="20"/>
              </w:rPr>
              <w:t>分）</w:t>
            </w:r>
          </w:p>
        </w:tc>
        <w:tc>
          <w:tcPr>
            <w:tcW w:w="1079" w:type="pct"/>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rPr>
            </w:pPr>
            <w:r>
              <w:rPr>
                <w:rFonts w:hint="eastAsia" w:ascii="仿宋" w:hAnsi="仿宋" w:eastAsia="仿宋" w:cs="宋体"/>
                <w:kern w:val="0"/>
                <w:sz w:val="20"/>
                <w:szCs w:val="20"/>
              </w:rPr>
              <w:t>物业管理水平</w:t>
            </w:r>
          </w:p>
          <w:p>
            <w:pPr>
              <w:widowControl/>
              <w:jc w:val="center"/>
              <w:rPr>
                <w:rFonts w:hint="eastAsia" w:ascii="仿宋" w:hAnsi="仿宋" w:eastAsia="仿宋" w:cs="宋体"/>
                <w:kern w:val="0"/>
                <w:sz w:val="20"/>
                <w:szCs w:val="20"/>
                <w:lang w:val="en-US" w:eastAsia="zh-CN" w:bidi="ar-SA"/>
              </w:rPr>
            </w:pPr>
            <w:r>
              <w:rPr>
                <w:rFonts w:hint="eastAsia" w:ascii="仿宋" w:hAnsi="仿宋" w:eastAsia="仿宋" w:cs="宋体"/>
                <w:kern w:val="0"/>
                <w:sz w:val="20"/>
                <w:szCs w:val="20"/>
              </w:rPr>
              <w:t>提升度</w:t>
            </w:r>
          </w:p>
        </w:tc>
        <w:tc>
          <w:tcPr>
            <w:tcW w:w="726" w:type="pct"/>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lang w:val="en-US" w:eastAsia="zh-CN" w:bidi="ar-SA"/>
              </w:rPr>
            </w:pPr>
            <w:r>
              <w:rPr>
                <w:rFonts w:hint="eastAsia" w:ascii="仿宋" w:hAnsi="仿宋" w:eastAsia="仿宋" w:cs="宋体"/>
                <w:kern w:val="0"/>
                <w:sz w:val="20"/>
                <w:szCs w:val="20"/>
              </w:rPr>
              <w:t>提升</w:t>
            </w:r>
          </w:p>
        </w:tc>
        <w:tc>
          <w:tcPr>
            <w:tcW w:w="730" w:type="pct"/>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lang w:val="en-US" w:eastAsia="zh-CN"/>
              </w:rPr>
            </w:pPr>
            <w:r>
              <w:rPr>
                <w:rFonts w:hint="eastAsia" w:ascii="仿宋" w:hAnsi="仿宋" w:eastAsia="仿宋" w:cs="宋体"/>
                <w:kern w:val="0"/>
                <w:sz w:val="20"/>
                <w:szCs w:val="20"/>
                <w:lang w:val="en-US" w:eastAsia="zh-CN"/>
              </w:rPr>
              <w:t>提升</w:t>
            </w:r>
          </w:p>
        </w:tc>
        <w:tc>
          <w:tcPr>
            <w:tcW w:w="598" w:type="pct"/>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lang w:val="en-US" w:eastAsia="zh-CN"/>
              </w:rPr>
            </w:pPr>
            <w:r>
              <w:rPr>
                <w:rFonts w:hint="eastAsia" w:ascii="仿宋" w:hAnsi="仿宋" w:eastAsia="仿宋" w:cs="宋体"/>
                <w:kern w:val="0"/>
                <w:sz w:val="20"/>
                <w:szCs w:val="20"/>
                <w:lang w:val="en-US" w:eastAsia="zh-CN"/>
              </w:rPr>
              <w:t>4</w:t>
            </w:r>
          </w:p>
        </w:tc>
      </w:tr>
      <w:tr>
        <w:tblPrEx>
          <w:tblCellMar>
            <w:top w:w="0" w:type="dxa"/>
            <w:left w:w="108" w:type="dxa"/>
            <w:bottom w:w="0" w:type="dxa"/>
            <w:right w:w="108" w:type="dxa"/>
          </w:tblCellMar>
        </w:tblPrEx>
        <w:trPr>
          <w:trHeight w:val="450" w:hRule="atLeast"/>
        </w:trPr>
        <w:tc>
          <w:tcPr>
            <w:tcW w:w="5000" w:type="pct"/>
            <w:gridSpan w:val="9"/>
            <w:tcBorders>
              <w:left w:val="single" w:color="auto" w:sz="4" w:space="0"/>
              <w:bottom w:val="single" w:color="auto" w:sz="4" w:space="0"/>
              <w:right w:val="single" w:color="auto" w:sz="4" w:space="0"/>
            </w:tcBorders>
            <w:vAlign w:val="center"/>
          </w:tcPr>
          <w:p>
            <w:pPr>
              <w:widowControl/>
              <w:rPr>
                <w:rFonts w:hint="eastAsia" w:ascii="仿宋" w:hAnsi="仿宋" w:eastAsia="仿宋" w:cs="宋体"/>
                <w:kern w:val="0"/>
                <w:sz w:val="20"/>
                <w:szCs w:val="20"/>
              </w:rPr>
            </w:pPr>
            <w:r>
              <w:rPr>
                <w:rFonts w:hint="eastAsia" w:ascii="仿宋" w:hAnsi="仿宋" w:eastAsia="仿宋" w:cs="宋体"/>
                <w:kern w:val="0"/>
                <w:sz w:val="20"/>
                <w:szCs w:val="20"/>
              </w:rPr>
              <w:t>年度目标</w:t>
            </w:r>
            <w:r>
              <w:rPr>
                <w:rFonts w:hint="eastAsia" w:ascii="仿宋" w:hAnsi="仿宋" w:eastAsia="仿宋" w:cs="宋体"/>
                <w:kern w:val="0"/>
                <w:sz w:val="20"/>
                <w:szCs w:val="20"/>
                <w:lang w:val="en-US" w:eastAsia="zh-CN"/>
              </w:rPr>
              <w:t>4</w:t>
            </w:r>
            <w:r>
              <w:rPr>
                <w:rFonts w:hint="eastAsia" w:ascii="仿宋" w:hAnsi="仿宋" w:eastAsia="仿宋" w:cs="宋体"/>
                <w:kern w:val="0"/>
                <w:sz w:val="20"/>
                <w:szCs w:val="20"/>
              </w:rPr>
              <w:t>（</w:t>
            </w:r>
            <w:r>
              <w:rPr>
                <w:rFonts w:hint="eastAsia" w:ascii="仿宋" w:hAnsi="仿宋" w:eastAsia="仿宋" w:cs="宋体"/>
                <w:kern w:val="0"/>
                <w:sz w:val="20"/>
                <w:szCs w:val="20"/>
                <w:lang w:val="en-US" w:eastAsia="zh-CN"/>
              </w:rPr>
              <w:t>16</w:t>
            </w:r>
            <w:r>
              <w:rPr>
                <w:rFonts w:hint="eastAsia" w:ascii="仿宋" w:hAnsi="仿宋" w:eastAsia="仿宋" w:cs="宋体"/>
                <w:kern w:val="0"/>
                <w:sz w:val="20"/>
                <w:szCs w:val="20"/>
              </w:rPr>
              <w:t>分）:</w:t>
            </w:r>
            <w:r>
              <w:rPr>
                <w:color w:val="000000"/>
                <w:sz w:val="20"/>
                <w:szCs w:val="20"/>
              </w:rPr>
              <w:t xml:space="preserve"> </w:t>
            </w:r>
            <w:r>
              <w:rPr>
                <w:rFonts w:hint="eastAsia" w:ascii="仿宋" w:hAnsi="仿宋" w:eastAsia="仿宋" w:cs="宋体"/>
                <w:kern w:val="0"/>
                <w:sz w:val="20"/>
                <w:szCs w:val="20"/>
              </w:rPr>
              <w:t>进一步统筹推进各项职能工作，促进全局工作同步协调发展；完善施工图审查制度，加强工程备案档案管理。</w:t>
            </w:r>
          </w:p>
        </w:tc>
      </w:tr>
      <w:tr>
        <w:tblPrEx>
          <w:tblCellMar>
            <w:top w:w="0" w:type="dxa"/>
            <w:left w:w="108" w:type="dxa"/>
            <w:bottom w:w="0" w:type="dxa"/>
            <w:right w:w="108" w:type="dxa"/>
          </w:tblCellMar>
        </w:tblPrEx>
        <w:trPr>
          <w:trHeight w:val="450" w:hRule="atLeast"/>
        </w:trPr>
        <w:tc>
          <w:tcPr>
            <w:tcW w:w="340" w:type="pct"/>
            <w:vMerge w:val="restart"/>
            <w:tcBorders>
              <w:left w:val="single" w:color="auto" w:sz="4" w:space="0"/>
              <w:right w:val="single" w:color="auto" w:sz="4" w:space="0"/>
            </w:tcBorders>
            <w:vAlign w:val="center"/>
          </w:tcPr>
          <w:p>
            <w:pPr>
              <w:widowControl/>
              <w:rPr>
                <w:rFonts w:hint="eastAsia" w:ascii="仿宋" w:hAnsi="仿宋" w:eastAsia="仿宋" w:cs="宋体"/>
                <w:kern w:val="0"/>
                <w:sz w:val="20"/>
                <w:szCs w:val="20"/>
              </w:rPr>
            </w:pPr>
            <w:r>
              <w:rPr>
                <w:rFonts w:hint="eastAsia" w:ascii="仿宋" w:hAnsi="仿宋" w:eastAsia="仿宋" w:cs="宋体"/>
                <w:kern w:val="0"/>
                <w:sz w:val="20"/>
                <w:szCs w:val="20"/>
              </w:rPr>
              <w:t>年</w:t>
            </w:r>
          </w:p>
          <w:p>
            <w:pPr>
              <w:widowControl/>
              <w:rPr>
                <w:rFonts w:hint="eastAsia" w:ascii="仿宋" w:hAnsi="仿宋" w:eastAsia="仿宋" w:cs="宋体"/>
                <w:kern w:val="0"/>
                <w:sz w:val="20"/>
                <w:szCs w:val="20"/>
              </w:rPr>
            </w:pPr>
            <w:r>
              <w:rPr>
                <w:rFonts w:hint="eastAsia" w:ascii="仿宋" w:hAnsi="仿宋" w:eastAsia="仿宋" w:cs="宋体"/>
                <w:kern w:val="0"/>
                <w:sz w:val="20"/>
                <w:szCs w:val="20"/>
              </w:rPr>
              <w:t>度</w:t>
            </w:r>
          </w:p>
          <w:p>
            <w:pPr>
              <w:widowControl/>
              <w:rPr>
                <w:rFonts w:hint="eastAsia" w:ascii="仿宋" w:hAnsi="仿宋" w:eastAsia="仿宋" w:cs="宋体"/>
                <w:kern w:val="0"/>
                <w:sz w:val="20"/>
                <w:szCs w:val="20"/>
              </w:rPr>
            </w:pPr>
            <w:r>
              <w:rPr>
                <w:rFonts w:hint="eastAsia" w:ascii="仿宋" w:hAnsi="仿宋" w:eastAsia="仿宋" w:cs="宋体"/>
                <w:kern w:val="0"/>
                <w:sz w:val="20"/>
                <w:szCs w:val="20"/>
              </w:rPr>
              <w:t>绩</w:t>
            </w:r>
          </w:p>
          <w:p>
            <w:pPr>
              <w:widowControl/>
              <w:rPr>
                <w:rFonts w:hint="eastAsia" w:ascii="仿宋" w:hAnsi="仿宋" w:eastAsia="仿宋" w:cs="宋体"/>
                <w:kern w:val="0"/>
                <w:sz w:val="20"/>
                <w:szCs w:val="20"/>
              </w:rPr>
            </w:pPr>
            <w:r>
              <w:rPr>
                <w:rFonts w:hint="eastAsia" w:ascii="仿宋" w:hAnsi="仿宋" w:eastAsia="仿宋" w:cs="宋体"/>
                <w:kern w:val="0"/>
                <w:sz w:val="20"/>
                <w:szCs w:val="20"/>
              </w:rPr>
              <w:t>效</w:t>
            </w:r>
          </w:p>
          <w:p>
            <w:pPr>
              <w:widowControl/>
              <w:rPr>
                <w:rFonts w:hint="eastAsia" w:ascii="仿宋" w:hAnsi="仿宋" w:eastAsia="仿宋" w:cs="宋体"/>
                <w:kern w:val="0"/>
                <w:sz w:val="20"/>
                <w:szCs w:val="20"/>
              </w:rPr>
            </w:pPr>
            <w:r>
              <w:rPr>
                <w:rFonts w:hint="eastAsia" w:ascii="仿宋" w:hAnsi="仿宋" w:eastAsia="仿宋" w:cs="宋体"/>
                <w:kern w:val="0"/>
                <w:sz w:val="20"/>
                <w:szCs w:val="20"/>
              </w:rPr>
              <w:t>指</w:t>
            </w:r>
          </w:p>
          <w:p>
            <w:pPr>
              <w:widowControl/>
              <w:rPr>
                <w:rFonts w:hint="eastAsia" w:ascii="仿宋" w:hAnsi="仿宋" w:eastAsia="仿宋" w:cs="宋体"/>
                <w:kern w:val="0"/>
                <w:sz w:val="20"/>
                <w:szCs w:val="20"/>
              </w:rPr>
            </w:pPr>
            <w:r>
              <w:rPr>
                <w:rFonts w:hint="eastAsia" w:ascii="仿宋" w:hAnsi="仿宋" w:eastAsia="仿宋" w:cs="宋体"/>
                <w:kern w:val="0"/>
                <w:sz w:val="20"/>
                <w:szCs w:val="20"/>
              </w:rPr>
              <w:t>标</w:t>
            </w:r>
          </w:p>
        </w:tc>
        <w:tc>
          <w:tcPr>
            <w:tcW w:w="683" w:type="pct"/>
            <w:tcBorders>
              <w:left w:val="single" w:color="auto" w:sz="4" w:space="0"/>
              <w:bottom w:val="single" w:color="auto" w:sz="4" w:space="0"/>
              <w:right w:val="single" w:color="auto" w:sz="4" w:space="0"/>
            </w:tcBorders>
            <w:vAlign w:val="center"/>
          </w:tcPr>
          <w:p>
            <w:pPr>
              <w:widowControl/>
              <w:jc w:val="center"/>
              <w:rPr>
                <w:rFonts w:hint="eastAsia" w:ascii="仿宋" w:hAnsi="仿宋" w:eastAsia="仿宋" w:cs="宋体"/>
                <w:kern w:val="0"/>
                <w:sz w:val="20"/>
                <w:szCs w:val="20"/>
                <w:lang w:eastAsia="zh-CN"/>
              </w:rPr>
            </w:pPr>
            <w:r>
              <w:rPr>
                <w:rFonts w:hint="eastAsia" w:ascii="仿宋" w:hAnsi="仿宋" w:eastAsia="仿宋" w:cs="宋体"/>
                <w:kern w:val="0"/>
                <w:sz w:val="20"/>
                <w:szCs w:val="20"/>
              </w:rPr>
              <w:t>一级</w:t>
            </w:r>
          </w:p>
          <w:p>
            <w:pPr>
              <w:widowControl/>
              <w:jc w:val="center"/>
              <w:rPr>
                <w:rFonts w:hint="eastAsia" w:ascii="仿宋" w:hAnsi="仿宋" w:eastAsia="仿宋" w:cs="宋体"/>
                <w:kern w:val="0"/>
                <w:sz w:val="20"/>
                <w:szCs w:val="20"/>
                <w:lang w:val="en-US" w:eastAsia="zh-CN" w:bidi="ar-SA"/>
              </w:rPr>
            </w:pPr>
            <w:r>
              <w:rPr>
                <w:rFonts w:hint="eastAsia" w:ascii="仿宋" w:hAnsi="仿宋" w:eastAsia="仿宋" w:cs="宋体"/>
                <w:kern w:val="0"/>
                <w:sz w:val="20"/>
                <w:szCs w:val="20"/>
              </w:rPr>
              <w:t>指标</w:t>
            </w:r>
          </w:p>
        </w:tc>
        <w:tc>
          <w:tcPr>
            <w:tcW w:w="839" w:type="pct"/>
            <w:tcBorders>
              <w:left w:val="single" w:color="auto" w:sz="4" w:space="0"/>
              <w:bottom w:val="single" w:color="auto" w:sz="4" w:space="0"/>
              <w:right w:val="single" w:color="auto" w:sz="4" w:space="0"/>
            </w:tcBorders>
            <w:vAlign w:val="center"/>
          </w:tcPr>
          <w:p>
            <w:pPr>
              <w:widowControl/>
              <w:jc w:val="center"/>
              <w:rPr>
                <w:rFonts w:hint="eastAsia" w:ascii="仿宋" w:hAnsi="仿宋" w:eastAsia="仿宋" w:cs="宋体"/>
                <w:kern w:val="0"/>
                <w:sz w:val="20"/>
                <w:szCs w:val="20"/>
                <w:lang w:val="en-US" w:eastAsia="zh-CN" w:bidi="ar-SA"/>
              </w:rPr>
            </w:pPr>
            <w:r>
              <w:rPr>
                <w:rFonts w:hint="eastAsia" w:ascii="仿宋" w:hAnsi="仿宋" w:eastAsia="仿宋" w:cs="宋体"/>
                <w:kern w:val="0"/>
                <w:sz w:val="20"/>
                <w:szCs w:val="20"/>
              </w:rPr>
              <w:t>二级指标</w:t>
            </w:r>
          </w:p>
        </w:tc>
        <w:tc>
          <w:tcPr>
            <w:tcW w:w="1079" w:type="pct"/>
            <w:tcBorders>
              <w:left w:val="single" w:color="auto" w:sz="4" w:space="0"/>
              <w:bottom w:val="single" w:color="auto" w:sz="4" w:space="0"/>
              <w:right w:val="single" w:color="auto" w:sz="4" w:space="0"/>
            </w:tcBorders>
            <w:vAlign w:val="center"/>
          </w:tcPr>
          <w:p>
            <w:pPr>
              <w:widowControl/>
              <w:jc w:val="center"/>
              <w:rPr>
                <w:rFonts w:hint="eastAsia" w:ascii="Times New Roman" w:hAnsi="Times New Roman" w:eastAsia="宋体" w:cs="Times New Roman"/>
                <w:color w:val="000000"/>
                <w:kern w:val="2"/>
                <w:sz w:val="20"/>
                <w:szCs w:val="20"/>
                <w:lang w:val="en-US" w:eastAsia="zh-CN" w:bidi="ar-SA"/>
              </w:rPr>
            </w:pPr>
            <w:r>
              <w:rPr>
                <w:rFonts w:hint="eastAsia" w:ascii="仿宋" w:hAnsi="仿宋" w:eastAsia="仿宋" w:cs="宋体"/>
                <w:kern w:val="0"/>
                <w:sz w:val="20"/>
                <w:szCs w:val="20"/>
              </w:rPr>
              <w:t>指标名称</w:t>
            </w:r>
          </w:p>
        </w:tc>
        <w:tc>
          <w:tcPr>
            <w:tcW w:w="625" w:type="pct"/>
            <w:tcBorders>
              <w:left w:val="single" w:color="auto" w:sz="4" w:space="0"/>
              <w:bottom w:val="single" w:color="auto" w:sz="4" w:space="0"/>
              <w:right w:val="single" w:color="auto" w:sz="4" w:space="0"/>
            </w:tcBorders>
            <w:vAlign w:val="center"/>
          </w:tcPr>
          <w:p>
            <w:pPr>
              <w:widowControl/>
              <w:jc w:val="center"/>
              <w:rPr>
                <w:rFonts w:hint="eastAsia" w:ascii="仿宋" w:hAnsi="仿宋" w:eastAsia="仿宋" w:cs="宋体"/>
                <w:kern w:val="0"/>
                <w:sz w:val="20"/>
                <w:szCs w:val="20"/>
              </w:rPr>
            </w:pPr>
            <w:r>
              <w:rPr>
                <w:rFonts w:hint="eastAsia" w:ascii="仿宋" w:hAnsi="仿宋" w:eastAsia="仿宋" w:cs="宋体"/>
                <w:kern w:val="0"/>
                <w:sz w:val="20"/>
                <w:szCs w:val="20"/>
              </w:rPr>
              <w:t>年初</w:t>
            </w:r>
          </w:p>
          <w:p>
            <w:pPr>
              <w:widowControl/>
              <w:jc w:val="center"/>
              <w:rPr>
                <w:rFonts w:hint="eastAsia" w:ascii="Times New Roman" w:hAnsi="Times New Roman" w:eastAsia="宋体" w:cs="Times New Roman"/>
                <w:color w:val="000000"/>
                <w:kern w:val="2"/>
                <w:sz w:val="20"/>
                <w:szCs w:val="20"/>
                <w:lang w:val="en-US" w:eastAsia="zh-CN" w:bidi="ar-SA"/>
              </w:rPr>
            </w:pPr>
            <w:r>
              <w:rPr>
                <w:rFonts w:hint="eastAsia" w:ascii="仿宋" w:hAnsi="仿宋" w:eastAsia="仿宋" w:cs="宋体"/>
                <w:kern w:val="0"/>
                <w:sz w:val="20"/>
                <w:szCs w:val="20"/>
              </w:rPr>
              <w:t>指标值</w:t>
            </w:r>
          </w:p>
        </w:tc>
        <w:tc>
          <w:tcPr>
            <w:tcW w:w="713" w:type="pct"/>
            <w:gridSpan w:val="2"/>
            <w:tcBorders>
              <w:left w:val="single" w:color="auto" w:sz="4" w:space="0"/>
              <w:bottom w:val="single" w:color="auto" w:sz="4" w:space="0"/>
              <w:right w:val="single" w:color="auto" w:sz="4" w:space="0"/>
            </w:tcBorders>
            <w:vAlign w:val="center"/>
          </w:tcPr>
          <w:p>
            <w:pPr>
              <w:widowControl/>
              <w:jc w:val="center"/>
              <w:rPr>
                <w:rFonts w:hint="eastAsia" w:ascii="仿宋" w:hAnsi="仿宋" w:eastAsia="仿宋" w:cs="宋体"/>
                <w:kern w:val="0"/>
                <w:sz w:val="20"/>
                <w:szCs w:val="20"/>
              </w:rPr>
            </w:pPr>
            <w:r>
              <w:rPr>
                <w:rFonts w:hint="eastAsia" w:ascii="仿宋" w:hAnsi="仿宋" w:eastAsia="仿宋" w:cs="宋体"/>
                <w:kern w:val="0"/>
                <w:sz w:val="20"/>
                <w:szCs w:val="20"/>
              </w:rPr>
              <w:t>实际</w:t>
            </w:r>
          </w:p>
          <w:p>
            <w:pPr>
              <w:widowControl/>
              <w:jc w:val="center"/>
              <w:rPr>
                <w:rFonts w:hint="eastAsia" w:ascii="仿宋" w:hAnsi="仿宋" w:eastAsia="仿宋" w:cs="宋体"/>
                <w:kern w:val="0"/>
                <w:sz w:val="20"/>
                <w:szCs w:val="20"/>
                <w:lang w:val="en-US" w:eastAsia="zh-CN" w:bidi="ar-SA"/>
              </w:rPr>
            </w:pPr>
            <w:r>
              <w:rPr>
                <w:rFonts w:hint="eastAsia" w:ascii="仿宋" w:hAnsi="仿宋" w:eastAsia="仿宋" w:cs="宋体"/>
                <w:kern w:val="0"/>
                <w:sz w:val="20"/>
                <w:szCs w:val="20"/>
              </w:rPr>
              <w:t>完成值</w:t>
            </w:r>
          </w:p>
        </w:tc>
        <w:tc>
          <w:tcPr>
            <w:tcW w:w="716" w:type="pct"/>
            <w:gridSpan w:val="2"/>
            <w:tcBorders>
              <w:left w:val="single" w:color="auto" w:sz="4" w:space="0"/>
              <w:bottom w:val="single" w:color="auto" w:sz="4" w:space="0"/>
              <w:right w:val="single" w:color="auto" w:sz="4" w:space="0"/>
            </w:tcBorders>
            <w:vAlign w:val="center"/>
          </w:tcPr>
          <w:p>
            <w:pPr>
              <w:widowControl/>
              <w:jc w:val="center"/>
              <w:rPr>
                <w:rFonts w:hint="eastAsia" w:ascii="仿宋" w:hAnsi="仿宋" w:eastAsia="仿宋" w:cs="宋体"/>
                <w:kern w:val="0"/>
                <w:sz w:val="20"/>
                <w:szCs w:val="20"/>
                <w:lang w:val="en-US" w:eastAsia="zh-CN" w:bidi="ar-SA"/>
              </w:rPr>
            </w:pPr>
            <w:r>
              <w:rPr>
                <w:rFonts w:hint="eastAsia" w:ascii="仿宋" w:hAnsi="仿宋" w:eastAsia="仿宋" w:cs="宋体"/>
                <w:kern w:val="0"/>
                <w:sz w:val="20"/>
                <w:szCs w:val="20"/>
              </w:rPr>
              <w:t>得分</w:t>
            </w:r>
          </w:p>
        </w:tc>
      </w:tr>
      <w:tr>
        <w:tblPrEx>
          <w:tblCellMar>
            <w:top w:w="0" w:type="dxa"/>
            <w:left w:w="108" w:type="dxa"/>
            <w:bottom w:w="0" w:type="dxa"/>
            <w:right w:w="108" w:type="dxa"/>
          </w:tblCellMar>
        </w:tblPrEx>
        <w:trPr>
          <w:trHeight w:val="450" w:hRule="atLeast"/>
        </w:trPr>
        <w:tc>
          <w:tcPr>
            <w:tcW w:w="340" w:type="pct"/>
            <w:vMerge w:val="continue"/>
            <w:tcBorders>
              <w:left w:val="single" w:color="auto" w:sz="4" w:space="0"/>
              <w:right w:val="single" w:color="auto" w:sz="4" w:space="0"/>
            </w:tcBorders>
            <w:vAlign w:val="center"/>
          </w:tcPr>
          <w:p>
            <w:pPr>
              <w:widowControl/>
              <w:rPr>
                <w:rFonts w:hint="eastAsia" w:ascii="仿宋" w:hAnsi="仿宋" w:eastAsia="仿宋" w:cs="宋体"/>
                <w:kern w:val="0"/>
                <w:sz w:val="20"/>
                <w:szCs w:val="20"/>
              </w:rPr>
            </w:pPr>
          </w:p>
        </w:tc>
        <w:tc>
          <w:tcPr>
            <w:tcW w:w="683" w:type="pct"/>
            <w:tcBorders>
              <w:left w:val="single" w:color="auto" w:sz="4" w:space="0"/>
              <w:bottom w:val="single" w:color="auto" w:sz="4" w:space="0"/>
              <w:right w:val="single" w:color="auto" w:sz="4" w:space="0"/>
            </w:tcBorders>
            <w:vAlign w:val="center"/>
          </w:tcPr>
          <w:p>
            <w:pPr>
              <w:widowControl/>
              <w:jc w:val="center"/>
              <w:rPr>
                <w:rFonts w:hint="eastAsia" w:ascii="仿宋" w:hAnsi="仿宋" w:eastAsia="仿宋" w:cs="宋体"/>
                <w:kern w:val="0"/>
                <w:sz w:val="20"/>
                <w:szCs w:val="20"/>
              </w:rPr>
            </w:pPr>
            <w:r>
              <w:rPr>
                <w:rFonts w:hint="eastAsia" w:ascii="仿宋" w:hAnsi="仿宋" w:eastAsia="仿宋" w:cs="宋体"/>
                <w:kern w:val="0"/>
                <w:sz w:val="20"/>
                <w:szCs w:val="20"/>
              </w:rPr>
              <w:t>产出指标</w:t>
            </w:r>
          </w:p>
          <w:p>
            <w:pPr>
              <w:widowControl/>
              <w:jc w:val="center"/>
              <w:rPr>
                <w:rFonts w:hint="eastAsia" w:ascii="仿宋" w:hAnsi="仿宋" w:eastAsia="仿宋" w:cs="宋体"/>
                <w:kern w:val="0"/>
                <w:sz w:val="20"/>
                <w:szCs w:val="20"/>
                <w:lang w:val="en-US" w:eastAsia="zh-CN" w:bidi="ar-SA"/>
              </w:rPr>
            </w:pPr>
            <w:r>
              <w:rPr>
                <w:rFonts w:hint="eastAsia" w:ascii="仿宋" w:hAnsi="仿宋" w:eastAsia="仿宋" w:cs="宋体"/>
                <w:kern w:val="0"/>
                <w:sz w:val="20"/>
                <w:szCs w:val="20"/>
              </w:rPr>
              <w:t>（</w:t>
            </w:r>
            <w:r>
              <w:rPr>
                <w:rFonts w:hint="eastAsia" w:ascii="仿宋" w:hAnsi="仿宋" w:eastAsia="仿宋" w:cs="宋体"/>
                <w:kern w:val="0"/>
                <w:sz w:val="20"/>
                <w:szCs w:val="20"/>
                <w:lang w:val="en-US" w:eastAsia="zh-CN"/>
              </w:rPr>
              <w:t>5</w:t>
            </w:r>
            <w:r>
              <w:rPr>
                <w:rFonts w:hint="eastAsia" w:ascii="仿宋" w:hAnsi="仿宋" w:eastAsia="仿宋" w:cs="宋体"/>
                <w:kern w:val="0"/>
                <w:sz w:val="20"/>
                <w:szCs w:val="20"/>
              </w:rPr>
              <w:t>分）</w:t>
            </w:r>
          </w:p>
        </w:tc>
        <w:tc>
          <w:tcPr>
            <w:tcW w:w="839" w:type="pct"/>
            <w:tcBorders>
              <w:left w:val="single" w:color="auto" w:sz="4" w:space="0"/>
              <w:bottom w:val="single" w:color="auto" w:sz="4" w:space="0"/>
              <w:right w:val="single" w:color="auto" w:sz="4" w:space="0"/>
            </w:tcBorders>
            <w:vAlign w:val="center"/>
          </w:tcPr>
          <w:p>
            <w:pPr>
              <w:widowControl/>
              <w:jc w:val="center"/>
              <w:rPr>
                <w:rFonts w:hint="eastAsia" w:ascii="仿宋" w:hAnsi="仿宋" w:eastAsia="仿宋" w:cs="宋体"/>
                <w:kern w:val="0"/>
                <w:sz w:val="20"/>
                <w:szCs w:val="20"/>
              </w:rPr>
            </w:pPr>
            <w:r>
              <w:rPr>
                <w:rFonts w:hint="eastAsia" w:ascii="仿宋" w:hAnsi="仿宋" w:eastAsia="仿宋" w:cs="宋体"/>
                <w:kern w:val="0"/>
                <w:sz w:val="20"/>
                <w:szCs w:val="20"/>
              </w:rPr>
              <w:t>数量指标</w:t>
            </w:r>
          </w:p>
          <w:p>
            <w:pPr>
              <w:widowControl/>
              <w:jc w:val="center"/>
              <w:rPr>
                <w:rFonts w:hint="eastAsia" w:ascii="仿宋" w:hAnsi="仿宋" w:eastAsia="仿宋" w:cs="宋体"/>
                <w:kern w:val="0"/>
                <w:sz w:val="20"/>
                <w:szCs w:val="20"/>
                <w:lang w:val="en-US" w:eastAsia="zh-CN"/>
              </w:rPr>
            </w:pPr>
            <w:r>
              <w:rPr>
                <w:rFonts w:hint="eastAsia" w:ascii="仿宋" w:hAnsi="仿宋" w:eastAsia="仿宋" w:cs="宋体"/>
                <w:kern w:val="0"/>
                <w:sz w:val="20"/>
                <w:szCs w:val="20"/>
              </w:rPr>
              <w:t>（</w:t>
            </w:r>
            <w:r>
              <w:rPr>
                <w:rFonts w:hint="eastAsia" w:ascii="仿宋" w:hAnsi="仿宋" w:eastAsia="仿宋" w:cs="宋体"/>
                <w:kern w:val="0"/>
                <w:sz w:val="20"/>
                <w:szCs w:val="20"/>
                <w:lang w:val="en-US" w:eastAsia="zh-CN"/>
              </w:rPr>
              <w:t>5</w:t>
            </w:r>
            <w:r>
              <w:rPr>
                <w:rFonts w:hint="eastAsia" w:ascii="仿宋" w:hAnsi="仿宋" w:eastAsia="仿宋" w:cs="宋体"/>
                <w:kern w:val="0"/>
                <w:sz w:val="20"/>
                <w:szCs w:val="20"/>
              </w:rPr>
              <w:t>分）</w:t>
            </w:r>
          </w:p>
        </w:tc>
        <w:tc>
          <w:tcPr>
            <w:tcW w:w="1079" w:type="pct"/>
            <w:tcBorders>
              <w:left w:val="single" w:color="auto" w:sz="4" w:space="0"/>
              <w:bottom w:val="single" w:color="auto" w:sz="4" w:space="0"/>
              <w:right w:val="single" w:color="auto" w:sz="4" w:space="0"/>
            </w:tcBorders>
            <w:vAlign w:val="center"/>
          </w:tcPr>
          <w:p>
            <w:pPr>
              <w:widowControl/>
              <w:jc w:val="center"/>
              <w:rPr>
                <w:rFonts w:hint="eastAsia" w:ascii="仿宋" w:hAnsi="仿宋" w:eastAsia="仿宋" w:cs="宋体"/>
                <w:kern w:val="0"/>
                <w:sz w:val="20"/>
                <w:szCs w:val="20"/>
              </w:rPr>
            </w:pPr>
            <w:r>
              <w:rPr>
                <w:rFonts w:hint="eastAsia" w:ascii="仿宋" w:hAnsi="仿宋" w:eastAsia="仿宋" w:cs="宋体"/>
                <w:kern w:val="0"/>
                <w:sz w:val="20"/>
                <w:szCs w:val="20"/>
              </w:rPr>
              <w:t>施工图审查</w:t>
            </w:r>
            <w:r>
              <w:rPr>
                <w:rFonts w:hint="eastAsia" w:ascii="仿宋" w:hAnsi="仿宋" w:eastAsia="仿宋" w:cs="宋体"/>
                <w:kern w:val="0"/>
                <w:sz w:val="20"/>
                <w:szCs w:val="20"/>
                <w:lang w:val="en-US" w:eastAsia="zh-CN"/>
              </w:rPr>
              <w:t>工时缩减率</w:t>
            </w:r>
          </w:p>
        </w:tc>
        <w:tc>
          <w:tcPr>
            <w:tcW w:w="625" w:type="pct"/>
            <w:tcBorders>
              <w:left w:val="single" w:color="auto" w:sz="4" w:space="0"/>
              <w:bottom w:val="single" w:color="auto" w:sz="4" w:space="0"/>
              <w:right w:val="single" w:color="auto" w:sz="4" w:space="0"/>
            </w:tcBorders>
            <w:vAlign w:val="center"/>
          </w:tcPr>
          <w:p>
            <w:pPr>
              <w:widowControl/>
              <w:jc w:val="center"/>
              <w:rPr>
                <w:rFonts w:hint="default" w:ascii="仿宋" w:hAnsi="仿宋" w:eastAsia="仿宋" w:cs="宋体"/>
                <w:kern w:val="0"/>
                <w:sz w:val="20"/>
                <w:szCs w:val="20"/>
                <w:lang w:val="en-US" w:eastAsia="zh-CN"/>
              </w:rPr>
            </w:pPr>
            <w:r>
              <w:rPr>
                <w:rFonts w:hint="eastAsia" w:ascii="仿宋" w:hAnsi="仿宋" w:eastAsia="仿宋" w:cs="宋体"/>
                <w:kern w:val="0"/>
                <w:sz w:val="20"/>
                <w:szCs w:val="20"/>
                <w:lang w:val="en-US" w:eastAsia="zh-CN"/>
              </w:rPr>
              <w:t>10%</w:t>
            </w:r>
          </w:p>
        </w:tc>
        <w:tc>
          <w:tcPr>
            <w:tcW w:w="713" w:type="pct"/>
            <w:gridSpan w:val="2"/>
            <w:tcBorders>
              <w:left w:val="single" w:color="auto" w:sz="4" w:space="0"/>
              <w:bottom w:val="single" w:color="auto" w:sz="4" w:space="0"/>
              <w:right w:val="single" w:color="auto" w:sz="4" w:space="0"/>
            </w:tcBorders>
            <w:vAlign w:val="center"/>
          </w:tcPr>
          <w:p>
            <w:pPr>
              <w:widowControl/>
              <w:jc w:val="center"/>
              <w:rPr>
                <w:rFonts w:hint="default" w:ascii="仿宋" w:hAnsi="仿宋" w:eastAsia="仿宋" w:cs="宋体"/>
                <w:kern w:val="0"/>
                <w:sz w:val="20"/>
                <w:szCs w:val="20"/>
                <w:lang w:val="en-US" w:eastAsia="zh-CN"/>
              </w:rPr>
            </w:pPr>
            <w:r>
              <w:rPr>
                <w:rFonts w:hint="eastAsia" w:ascii="仿宋" w:hAnsi="仿宋" w:eastAsia="仿宋" w:cs="宋体"/>
                <w:kern w:val="0"/>
                <w:sz w:val="20"/>
                <w:szCs w:val="20"/>
                <w:lang w:val="en-US" w:eastAsia="zh-CN"/>
              </w:rPr>
              <w:t>50%</w:t>
            </w:r>
          </w:p>
        </w:tc>
        <w:tc>
          <w:tcPr>
            <w:tcW w:w="716" w:type="pct"/>
            <w:gridSpan w:val="2"/>
            <w:tcBorders>
              <w:left w:val="single" w:color="auto" w:sz="4" w:space="0"/>
              <w:bottom w:val="single" w:color="auto" w:sz="4" w:space="0"/>
              <w:right w:val="single" w:color="auto" w:sz="4" w:space="0"/>
            </w:tcBorders>
            <w:vAlign w:val="center"/>
          </w:tcPr>
          <w:p>
            <w:pPr>
              <w:widowControl/>
              <w:jc w:val="center"/>
              <w:rPr>
                <w:rFonts w:hint="eastAsia" w:ascii="仿宋" w:hAnsi="仿宋" w:eastAsia="仿宋" w:cs="宋体"/>
                <w:kern w:val="0"/>
                <w:sz w:val="20"/>
                <w:szCs w:val="20"/>
                <w:lang w:val="en-US" w:eastAsia="zh-CN"/>
              </w:rPr>
            </w:pPr>
            <w:r>
              <w:rPr>
                <w:rFonts w:hint="eastAsia" w:ascii="仿宋" w:hAnsi="仿宋" w:eastAsia="仿宋" w:cs="宋体"/>
                <w:kern w:val="0"/>
                <w:sz w:val="20"/>
                <w:szCs w:val="20"/>
                <w:lang w:val="en-US" w:eastAsia="zh-CN"/>
              </w:rPr>
              <w:t>5</w:t>
            </w:r>
          </w:p>
        </w:tc>
      </w:tr>
      <w:tr>
        <w:tblPrEx>
          <w:tblCellMar>
            <w:top w:w="0" w:type="dxa"/>
            <w:left w:w="108" w:type="dxa"/>
            <w:bottom w:w="0" w:type="dxa"/>
            <w:right w:w="108" w:type="dxa"/>
          </w:tblCellMar>
        </w:tblPrEx>
        <w:trPr>
          <w:trHeight w:val="450" w:hRule="atLeast"/>
        </w:trPr>
        <w:tc>
          <w:tcPr>
            <w:tcW w:w="340" w:type="pct"/>
            <w:vMerge w:val="continue"/>
            <w:tcBorders>
              <w:left w:val="single" w:color="auto" w:sz="4" w:space="0"/>
              <w:right w:val="single" w:color="auto" w:sz="4" w:space="0"/>
            </w:tcBorders>
            <w:vAlign w:val="center"/>
          </w:tcPr>
          <w:p>
            <w:pPr>
              <w:widowControl/>
              <w:rPr>
                <w:rFonts w:hint="eastAsia" w:ascii="仿宋" w:hAnsi="仿宋" w:eastAsia="仿宋" w:cs="宋体"/>
                <w:kern w:val="0"/>
                <w:sz w:val="20"/>
                <w:szCs w:val="20"/>
              </w:rPr>
            </w:pPr>
          </w:p>
        </w:tc>
        <w:tc>
          <w:tcPr>
            <w:tcW w:w="683" w:type="pct"/>
            <w:tcBorders>
              <w:left w:val="single" w:color="auto" w:sz="4" w:space="0"/>
              <w:bottom w:val="single" w:color="auto" w:sz="4" w:space="0"/>
              <w:right w:val="single" w:color="auto" w:sz="4" w:space="0"/>
            </w:tcBorders>
            <w:vAlign w:val="center"/>
          </w:tcPr>
          <w:p>
            <w:pPr>
              <w:widowControl/>
              <w:jc w:val="center"/>
              <w:rPr>
                <w:rFonts w:hint="eastAsia" w:ascii="仿宋" w:hAnsi="仿宋" w:eastAsia="仿宋" w:cs="宋体"/>
                <w:kern w:val="0"/>
                <w:sz w:val="20"/>
                <w:szCs w:val="20"/>
                <w:lang w:val="en-US" w:eastAsia="zh-CN"/>
              </w:rPr>
            </w:pPr>
            <w:r>
              <w:rPr>
                <w:rFonts w:hint="eastAsia" w:ascii="仿宋" w:hAnsi="仿宋" w:eastAsia="仿宋" w:cs="宋体"/>
                <w:kern w:val="0"/>
                <w:sz w:val="20"/>
                <w:szCs w:val="20"/>
                <w:lang w:val="en-US" w:eastAsia="zh-CN"/>
              </w:rPr>
              <w:t>产出指标</w:t>
            </w:r>
          </w:p>
          <w:p>
            <w:pPr>
              <w:widowControl/>
              <w:jc w:val="center"/>
              <w:rPr>
                <w:rFonts w:hint="default"/>
                <w:lang w:val="en-US" w:eastAsia="zh-CN"/>
              </w:rPr>
            </w:pPr>
            <w:r>
              <w:rPr>
                <w:rFonts w:hint="eastAsia" w:ascii="仿宋" w:hAnsi="仿宋" w:eastAsia="仿宋" w:cs="宋体"/>
                <w:kern w:val="0"/>
                <w:sz w:val="20"/>
                <w:szCs w:val="20"/>
              </w:rPr>
              <w:t>（</w:t>
            </w:r>
            <w:r>
              <w:rPr>
                <w:rFonts w:hint="eastAsia" w:ascii="仿宋" w:hAnsi="仿宋" w:eastAsia="仿宋" w:cs="宋体"/>
                <w:kern w:val="0"/>
                <w:sz w:val="20"/>
                <w:szCs w:val="20"/>
                <w:lang w:val="en-US" w:eastAsia="zh-CN"/>
              </w:rPr>
              <w:t>5</w:t>
            </w:r>
            <w:r>
              <w:rPr>
                <w:rFonts w:hint="eastAsia" w:ascii="仿宋" w:hAnsi="仿宋" w:eastAsia="仿宋" w:cs="宋体"/>
                <w:kern w:val="0"/>
                <w:sz w:val="20"/>
                <w:szCs w:val="20"/>
              </w:rPr>
              <w:t>分）</w:t>
            </w:r>
          </w:p>
        </w:tc>
        <w:tc>
          <w:tcPr>
            <w:tcW w:w="839" w:type="pct"/>
            <w:tcBorders>
              <w:left w:val="single" w:color="auto" w:sz="4" w:space="0"/>
              <w:bottom w:val="single" w:color="auto" w:sz="4" w:space="0"/>
              <w:right w:val="single" w:color="auto" w:sz="4" w:space="0"/>
            </w:tcBorders>
            <w:vAlign w:val="center"/>
          </w:tcPr>
          <w:p>
            <w:pPr>
              <w:widowControl/>
              <w:jc w:val="center"/>
              <w:rPr>
                <w:rFonts w:hint="eastAsia" w:ascii="仿宋" w:hAnsi="仿宋" w:eastAsia="仿宋" w:cs="宋体"/>
                <w:kern w:val="0"/>
                <w:sz w:val="20"/>
                <w:szCs w:val="20"/>
                <w:lang w:val="en-US" w:eastAsia="zh-CN"/>
              </w:rPr>
            </w:pPr>
            <w:r>
              <w:rPr>
                <w:rFonts w:hint="eastAsia" w:ascii="仿宋" w:hAnsi="仿宋" w:eastAsia="仿宋" w:cs="宋体"/>
                <w:kern w:val="0"/>
                <w:sz w:val="20"/>
                <w:szCs w:val="20"/>
                <w:lang w:val="en-US" w:eastAsia="zh-CN"/>
              </w:rPr>
              <w:t>数量指标</w:t>
            </w:r>
          </w:p>
          <w:p>
            <w:pPr>
              <w:widowControl/>
              <w:jc w:val="center"/>
              <w:rPr>
                <w:rFonts w:hint="default" w:ascii="仿宋" w:hAnsi="仿宋" w:eastAsia="仿宋" w:cs="宋体"/>
                <w:kern w:val="0"/>
                <w:sz w:val="20"/>
                <w:szCs w:val="20"/>
                <w:lang w:val="en-US" w:eastAsia="zh-CN"/>
              </w:rPr>
            </w:pPr>
            <w:r>
              <w:rPr>
                <w:rFonts w:hint="eastAsia" w:ascii="仿宋" w:hAnsi="仿宋" w:eastAsia="仿宋" w:cs="宋体"/>
                <w:kern w:val="0"/>
                <w:sz w:val="20"/>
                <w:szCs w:val="20"/>
              </w:rPr>
              <w:t>（</w:t>
            </w:r>
            <w:r>
              <w:rPr>
                <w:rFonts w:hint="eastAsia" w:ascii="仿宋" w:hAnsi="仿宋" w:eastAsia="仿宋" w:cs="宋体"/>
                <w:kern w:val="0"/>
                <w:sz w:val="20"/>
                <w:szCs w:val="20"/>
                <w:lang w:val="en-US" w:eastAsia="zh-CN"/>
              </w:rPr>
              <w:t>5</w:t>
            </w:r>
            <w:r>
              <w:rPr>
                <w:rFonts w:hint="eastAsia" w:ascii="仿宋" w:hAnsi="仿宋" w:eastAsia="仿宋" w:cs="宋体"/>
                <w:kern w:val="0"/>
                <w:sz w:val="20"/>
                <w:szCs w:val="20"/>
              </w:rPr>
              <w:t>分）</w:t>
            </w:r>
          </w:p>
        </w:tc>
        <w:tc>
          <w:tcPr>
            <w:tcW w:w="1079" w:type="pct"/>
            <w:tcBorders>
              <w:left w:val="single" w:color="auto" w:sz="4" w:space="0"/>
              <w:bottom w:val="single" w:color="auto" w:sz="4" w:space="0"/>
              <w:right w:val="single" w:color="auto" w:sz="4" w:space="0"/>
            </w:tcBorders>
            <w:vAlign w:val="center"/>
          </w:tcPr>
          <w:p>
            <w:pPr>
              <w:widowControl/>
              <w:jc w:val="center"/>
              <w:rPr>
                <w:rFonts w:hint="eastAsia" w:ascii="仿宋" w:hAnsi="仿宋" w:eastAsia="仿宋" w:cs="宋体"/>
                <w:kern w:val="0"/>
                <w:sz w:val="20"/>
                <w:szCs w:val="20"/>
                <w:lang w:val="en-US" w:eastAsia="zh-CN"/>
              </w:rPr>
            </w:pPr>
            <w:r>
              <w:rPr>
                <w:rFonts w:hint="eastAsia" w:ascii="仿宋" w:hAnsi="仿宋" w:eastAsia="仿宋" w:cs="宋体"/>
                <w:kern w:val="0"/>
                <w:sz w:val="20"/>
                <w:szCs w:val="20"/>
                <w:lang w:val="en-US" w:eastAsia="zh-CN"/>
              </w:rPr>
              <w:t>城建档案管理</w:t>
            </w:r>
          </w:p>
          <w:p>
            <w:pPr>
              <w:widowControl/>
              <w:jc w:val="center"/>
              <w:rPr>
                <w:rFonts w:hint="default" w:ascii="仿宋" w:hAnsi="仿宋" w:eastAsia="仿宋" w:cs="宋体"/>
                <w:kern w:val="0"/>
                <w:sz w:val="20"/>
                <w:szCs w:val="20"/>
                <w:lang w:val="en-US" w:eastAsia="zh-CN"/>
              </w:rPr>
            </w:pPr>
            <w:r>
              <w:rPr>
                <w:rFonts w:hint="eastAsia" w:ascii="仿宋" w:hAnsi="仿宋" w:eastAsia="仿宋" w:cs="宋体"/>
                <w:kern w:val="0"/>
                <w:sz w:val="20"/>
                <w:szCs w:val="20"/>
                <w:lang w:val="en-US" w:eastAsia="zh-CN"/>
              </w:rPr>
              <w:t>合规性</w:t>
            </w:r>
          </w:p>
        </w:tc>
        <w:tc>
          <w:tcPr>
            <w:tcW w:w="625" w:type="pct"/>
            <w:tcBorders>
              <w:left w:val="single" w:color="auto" w:sz="4" w:space="0"/>
              <w:bottom w:val="single" w:color="auto" w:sz="4" w:space="0"/>
              <w:right w:val="single" w:color="auto" w:sz="4" w:space="0"/>
            </w:tcBorders>
            <w:vAlign w:val="center"/>
          </w:tcPr>
          <w:p>
            <w:pPr>
              <w:widowControl/>
              <w:jc w:val="center"/>
              <w:rPr>
                <w:rFonts w:hint="default" w:ascii="仿宋" w:hAnsi="仿宋" w:eastAsia="仿宋" w:cs="宋体"/>
                <w:kern w:val="0"/>
                <w:sz w:val="20"/>
                <w:szCs w:val="20"/>
                <w:lang w:val="en-US" w:eastAsia="zh-CN"/>
              </w:rPr>
            </w:pPr>
            <w:r>
              <w:rPr>
                <w:rFonts w:hint="eastAsia" w:ascii="仿宋" w:hAnsi="仿宋" w:eastAsia="仿宋" w:cs="宋体"/>
                <w:kern w:val="0"/>
                <w:sz w:val="20"/>
                <w:szCs w:val="20"/>
                <w:lang w:val="en-US" w:eastAsia="zh-CN"/>
              </w:rPr>
              <w:t>100%</w:t>
            </w:r>
          </w:p>
        </w:tc>
        <w:tc>
          <w:tcPr>
            <w:tcW w:w="713" w:type="pct"/>
            <w:gridSpan w:val="2"/>
            <w:tcBorders>
              <w:left w:val="single" w:color="auto" w:sz="4" w:space="0"/>
              <w:bottom w:val="single" w:color="auto" w:sz="4" w:space="0"/>
              <w:right w:val="single" w:color="auto" w:sz="4" w:space="0"/>
            </w:tcBorders>
            <w:vAlign w:val="center"/>
          </w:tcPr>
          <w:p>
            <w:pPr>
              <w:widowControl/>
              <w:jc w:val="center"/>
              <w:rPr>
                <w:rFonts w:hint="default" w:ascii="仿宋" w:hAnsi="仿宋" w:eastAsia="仿宋" w:cs="宋体"/>
                <w:kern w:val="0"/>
                <w:sz w:val="20"/>
                <w:szCs w:val="20"/>
                <w:lang w:val="en-US" w:eastAsia="zh-CN"/>
              </w:rPr>
            </w:pPr>
            <w:r>
              <w:rPr>
                <w:rFonts w:hint="eastAsia" w:ascii="仿宋" w:hAnsi="仿宋" w:eastAsia="仿宋" w:cs="宋体"/>
                <w:kern w:val="0"/>
                <w:sz w:val="20"/>
                <w:szCs w:val="20"/>
                <w:lang w:val="en-US" w:eastAsia="zh-CN"/>
              </w:rPr>
              <w:t>100%</w:t>
            </w:r>
          </w:p>
        </w:tc>
        <w:tc>
          <w:tcPr>
            <w:tcW w:w="716" w:type="pct"/>
            <w:gridSpan w:val="2"/>
            <w:tcBorders>
              <w:left w:val="single" w:color="auto" w:sz="4" w:space="0"/>
              <w:bottom w:val="single" w:color="auto" w:sz="4" w:space="0"/>
              <w:right w:val="single" w:color="auto" w:sz="4" w:space="0"/>
            </w:tcBorders>
            <w:vAlign w:val="center"/>
          </w:tcPr>
          <w:p>
            <w:pPr>
              <w:widowControl/>
              <w:jc w:val="center"/>
              <w:rPr>
                <w:rFonts w:hint="eastAsia" w:ascii="仿宋" w:hAnsi="仿宋" w:eastAsia="仿宋" w:cs="宋体"/>
                <w:kern w:val="0"/>
                <w:sz w:val="20"/>
                <w:szCs w:val="20"/>
                <w:lang w:val="en-US" w:eastAsia="zh-CN"/>
              </w:rPr>
            </w:pPr>
            <w:r>
              <w:rPr>
                <w:rFonts w:hint="eastAsia" w:ascii="仿宋" w:hAnsi="仿宋" w:eastAsia="仿宋" w:cs="宋体"/>
                <w:kern w:val="0"/>
                <w:sz w:val="20"/>
                <w:szCs w:val="20"/>
                <w:lang w:val="en-US" w:eastAsia="zh-CN"/>
              </w:rPr>
              <w:t>5</w:t>
            </w:r>
          </w:p>
        </w:tc>
      </w:tr>
      <w:tr>
        <w:tblPrEx>
          <w:tblCellMar>
            <w:top w:w="0" w:type="dxa"/>
            <w:left w:w="108" w:type="dxa"/>
            <w:bottom w:w="0" w:type="dxa"/>
            <w:right w:w="108" w:type="dxa"/>
          </w:tblCellMar>
        </w:tblPrEx>
        <w:trPr>
          <w:trHeight w:val="450" w:hRule="atLeast"/>
        </w:trPr>
        <w:tc>
          <w:tcPr>
            <w:tcW w:w="340" w:type="pct"/>
            <w:vMerge w:val="continue"/>
            <w:tcBorders>
              <w:left w:val="single" w:color="auto" w:sz="4" w:space="0"/>
              <w:right w:val="single" w:color="auto" w:sz="4" w:space="0"/>
            </w:tcBorders>
            <w:vAlign w:val="center"/>
          </w:tcPr>
          <w:p>
            <w:pPr>
              <w:widowControl/>
              <w:rPr>
                <w:rFonts w:hint="eastAsia" w:ascii="仿宋" w:hAnsi="仿宋" w:eastAsia="仿宋" w:cs="宋体"/>
                <w:kern w:val="0"/>
                <w:sz w:val="20"/>
                <w:szCs w:val="20"/>
              </w:rPr>
            </w:pPr>
          </w:p>
        </w:tc>
        <w:tc>
          <w:tcPr>
            <w:tcW w:w="683" w:type="pct"/>
            <w:tcBorders>
              <w:left w:val="single" w:color="auto" w:sz="4" w:space="0"/>
              <w:bottom w:val="single" w:color="auto" w:sz="4" w:space="0"/>
              <w:right w:val="single" w:color="auto" w:sz="4" w:space="0"/>
            </w:tcBorders>
            <w:vAlign w:val="center"/>
          </w:tcPr>
          <w:p>
            <w:pPr>
              <w:widowControl/>
              <w:jc w:val="center"/>
              <w:rPr>
                <w:rFonts w:hint="eastAsia" w:ascii="仿宋" w:hAnsi="仿宋" w:eastAsia="仿宋" w:cs="宋体"/>
                <w:kern w:val="0"/>
                <w:sz w:val="20"/>
                <w:szCs w:val="20"/>
              </w:rPr>
            </w:pPr>
            <w:r>
              <w:rPr>
                <w:rFonts w:hint="eastAsia" w:ascii="仿宋" w:hAnsi="仿宋" w:eastAsia="仿宋" w:cs="宋体"/>
                <w:kern w:val="0"/>
                <w:sz w:val="20"/>
                <w:szCs w:val="20"/>
              </w:rPr>
              <w:t>效益指标</w:t>
            </w:r>
          </w:p>
          <w:p>
            <w:pPr>
              <w:widowControl/>
              <w:jc w:val="center"/>
              <w:rPr>
                <w:rFonts w:hint="eastAsia" w:ascii="仿宋" w:hAnsi="仿宋" w:eastAsia="仿宋" w:cs="宋体"/>
                <w:kern w:val="0"/>
                <w:sz w:val="20"/>
                <w:szCs w:val="20"/>
                <w:lang w:val="en-US" w:eastAsia="zh-CN" w:bidi="ar-SA"/>
              </w:rPr>
            </w:pPr>
            <w:r>
              <w:rPr>
                <w:rFonts w:hint="eastAsia" w:ascii="仿宋" w:hAnsi="仿宋" w:eastAsia="仿宋" w:cs="宋体"/>
                <w:kern w:val="0"/>
                <w:sz w:val="20"/>
                <w:szCs w:val="20"/>
              </w:rPr>
              <w:t>（</w:t>
            </w:r>
            <w:r>
              <w:rPr>
                <w:rFonts w:hint="eastAsia" w:ascii="仿宋" w:hAnsi="仿宋" w:eastAsia="仿宋" w:cs="宋体"/>
                <w:kern w:val="0"/>
                <w:sz w:val="20"/>
                <w:szCs w:val="20"/>
                <w:lang w:val="en-US" w:eastAsia="zh-CN"/>
              </w:rPr>
              <w:t>6</w:t>
            </w:r>
            <w:r>
              <w:rPr>
                <w:rFonts w:hint="eastAsia" w:ascii="仿宋" w:hAnsi="仿宋" w:eastAsia="仿宋" w:cs="宋体"/>
                <w:kern w:val="0"/>
                <w:sz w:val="20"/>
                <w:szCs w:val="20"/>
              </w:rPr>
              <w:t>分）</w:t>
            </w:r>
          </w:p>
        </w:tc>
        <w:tc>
          <w:tcPr>
            <w:tcW w:w="839" w:type="pct"/>
            <w:tcBorders>
              <w:left w:val="single" w:color="auto" w:sz="4" w:space="0"/>
              <w:bottom w:val="single" w:color="auto" w:sz="4" w:space="0"/>
              <w:right w:val="single" w:color="auto" w:sz="4" w:space="0"/>
            </w:tcBorders>
            <w:vAlign w:val="center"/>
          </w:tcPr>
          <w:p>
            <w:pPr>
              <w:widowControl/>
              <w:jc w:val="center"/>
              <w:rPr>
                <w:rFonts w:hint="eastAsia" w:ascii="仿宋" w:hAnsi="仿宋" w:eastAsia="仿宋" w:cs="宋体"/>
                <w:kern w:val="0"/>
                <w:sz w:val="20"/>
                <w:szCs w:val="20"/>
              </w:rPr>
            </w:pPr>
            <w:r>
              <w:rPr>
                <w:rFonts w:hint="eastAsia" w:ascii="仿宋" w:hAnsi="仿宋" w:eastAsia="仿宋" w:cs="宋体"/>
                <w:kern w:val="0"/>
                <w:sz w:val="20"/>
                <w:szCs w:val="20"/>
              </w:rPr>
              <w:t>社会效益</w:t>
            </w:r>
          </w:p>
          <w:p>
            <w:pPr>
              <w:widowControl/>
              <w:jc w:val="center"/>
              <w:rPr>
                <w:rFonts w:hint="eastAsia" w:ascii="仿宋" w:hAnsi="仿宋" w:eastAsia="仿宋" w:cs="宋体"/>
                <w:kern w:val="0"/>
                <w:sz w:val="20"/>
                <w:szCs w:val="20"/>
              </w:rPr>
            </w:pPr>
            <w:r>
              <w:rPr>
                <w:rFonts w:hint="eastAsia" w:ascii="仿宋" w:hAnsi="仿宋" w:eastAsia="仿宋" w:cs="宋体"/>
                <w:kern w:val="0"/>
                <w:sz w:val="20"/>
                <w:szCs w:val="20"/>
              </w:rPr>
              <w:t>指标</w:t>
            </w:r>
          </w:p>
          <w:p>
            <w:pPr>
              <w:widowControl/>
              <w:jc w:val="center"/>
              <w:rPr>
                <w:rFonts w:hint="eastAsia" w:ascii="仿宋" w:hAnsi="仿宋" w:eastAsia="仿宋" w:cs="宋体"/>
                <w:kern w:val="0"/>
                <w:sz w:val="20"/>
                <w:szCs w:val="20"/>
                <w:lang w:val="en-US" w:eastAsia="zh-CN"/>
              </w:rPr>
            </w:pPr>
            <w:r>
              <w:rPr>
                <w:rFonts w:hint="eastAsia" w:ascii="仿宋" w:hAnsi="仿宋" w:eastAsia="仿宋" w:cs="宋体"/>
                <w:kern w:val="0"/>
                <w:sz w:val="20"/>
                <w:szCs w:val="20"/>
              </w:rPr>
              <w:t>（</w:t>
            </w:r>
            <w:r>
              <w:rPr>
                <w:rFonts w:hint="eastAsia" w:ascii="仿宋" w:hAnsi="仿宋" w:eastAsia="仿宋" w:cs="宋体"/>
                <w:kern w:val="0"/>
                <w:sz w:val="20"/>
                <w:szCs w:val="20"/>
                <w:lang w:val="en-US" w:eastAsia="zh-CN"/>
              </w:rPr>
              <w:t>6</w:t>
            </w:r>
            <w:r>
              <w:rPr>
                <w:rFonts w:hint="eastAsia" w:ascii="仿宋" w:hAnsi="仿宋" w:eastAsia="仿宋" w:cs="宋体"/>
                <w:kern w:val="0"/>
                <w:sz w:val="20"/>
                <w:szCs w:val="20"/>
              </w:rPr>
              <w:t>分）</w:t>
            </w:r>
          </w:p>
        </w:tc>
        <w:tc>
          <w:tcPr>
            <w:tcW w:w="1079" w:type="pct"/>
            <w:tcBorders>
              <w:left w:val="single" w:color="auto" w:sz="4" w:space="0"/>
              <w:bottom w:val="single" w:color="auto" w:sz="4" w:space="0"/>
              <w:right w:val="single" w:color="auto" w:sz="4" w:space="0"/>
            </w:tcBorders>
            <w:vAlign w:val="center"/>
          </w:tcPr>
          <w:p>
            <w:pPr>
              <w:widowControl/>
              <w:jc w:val="center"/>
              <w:rPr>
                <w:rFonts w:hint="eastAsia" w:ascii="仿宋" w:hAnsi="仿宋" w:eastAsia="仿宋" w:cs="宋体"/>
                <w:kern w:val="0"/>
                <w:sz w:val="20"/>
                <w:szCs w:val="20"/>
                <w:lang w:val="en-US" w:eastAsia="zh-CN" w:bidi="ar-SA"/>
              </w:rPr>
            </w:pPr>
            <w:r>
              <w:rPr>
                <w:rFonts w:hint="eastAsia" w:ascii="仿宋" w:hAnsi="仿宋" w:eastAsia="仿宋" w:cs="宋体"/>
                <w:kern w:val="0"/>
                <w:sz w:val="20"/>
                <w:szCs w:val="20"/>
              </w:rPr>
              <w:t>建设工程竣工验收备案率</w:t>
            </w:r>
          </w:p>
        </w:tc>
        <w:tc>
          <w:tcPr>
            <w:tcW w:w="625" w:type="pct"/>
            <w:tcBorders>
              <w:left w:val="single" w:color="auto" w:sz="4" w:space="0"/>
              <w:bottom w:val="single" w:color="auto" w:sz="4" w:space="0"/>
              <w:right w:val="single" w:color="auto" w:sz="4" w:space="0"/>
            </w:tcBorders>
            <w:vAlign w:val="center"/>
          </w:tcPr>
          <w:p>
            <w:pPr>
              <w:widowControl/>
              <w:jc w:val="center"/>
              <w:rPr>
                <w:rFonts w:hint="default" w:ascii="仿宋" w:hAnsi="仿宋" w:eastAsia="仿宋" w:cs="宋体"/>
                <w:kern w:val="0"/>
                <w:sz w:val="20"/>
                <w:szCs w:val="20"/>
                <w:lang w:val="en-US" w:eastAsia="zh-CN"/>
              </w:rPr>
            </w:pPr>
            <w:r>
              <w:rPr>
                <w:rFonts w:hint="eastAsia" w:ascii="仿宋" w:hAnsi="仿宋" w:eastAsia="仿宋" w:cs="宋体"/>
                <w:kern w:val="0"/>
                <w:sz w:val="20"/>
                <w:szCs w:val="20"/>
                <w:lang w:val="en-US" w:eastAsia="zh-CN"/>
              </w:rPr>
              <w:t>100%</w:t>
            </w:r>
          </w:p>
        </w:tc>
        <w:tc>
          <w:tcPr>
            <w:tcW w:w="713" w:type="pct"/>
            <w:gridSpan w:val="2"/>
            <w:tcBorders>
              <w:left w:val="single" w:color="auto" w:sz="4" w:space="0"/>
              <w:bottom w:val="single" w:color="auto" w:sz="4" w:space="0"/>
              <w:right w:val="single" w:color="auto" w:sz="4" w:space="0"/>
            </w:tcBorders>
            <w:vAlign w:val="center"/>
          </w:tcPr>
          <w:p>
            <w:pPr>
              <w:widowControl/>
              <w:jc w:val="center"/>
              <w:rPr>
                <w:rFonts w:hint="default" w:ascii="仿宋" w:hAnsi="仿宋" w:eastAsia="仿宋" w:cs="宋体"/>
                <w:kern w:val="0"/>
                <w:sz w:val="20"/>
                <w:szCs w:val="20"/>
                <w:lang w:val="en-US" w:eastAsia="zh-CN"/>
              </w:rPr>
            </w:pPr>
            <w:r>
              <w:rPr>
                <w:rFonts w:hint="eastAsia" w:ascii="仿宋" w:hAnsi="仿宋" w:eastAsia="仿宋" w:cs="宋体"/>
                <w:kern w:val="0"/>
                <w:sz w:val="20"/>
                <w:szCs w:val="20"/>
                <w:lang w:val="en-US" w:eastAsia="zh-CN"/>
              </w:rPr>
              <w:t>100%</w:t>
            </w:r>
          </w:p>
        </w:tc>
        <w:tc>
          <w:tcPr>
            <w:tcW w:w="716" w:type="pct"/>
            <w:gridSpan w:val="2"/>
            <w:tcBorders>
              <w:left w:val="single" w:color="auto" w:sz="4" w:space="0"/>
              <w:bottom w:val="single" w:color="auto" w:sz="4" w:space="0"/>
              <w:right w:val="single" w:color="auto" w:sz="4" w:space="0"/>
            </w:tcBorders>
            <w:vAlign w:val="center"/>
          </w:tcPr>
          <w:p>
            <w:pPr>
              <w:widowControl/>
              <w:jc w:val="center"/>
              <w:rPr>
                <w:rFonts w:hint="eastAsia" w:ascii="仿宋" w:hAnsi="仿宋" w:eastAsia="仿宋" w:cs="宋体"/>
                <w:kern w:val="0"/>
                <w:sz w:val="20"/>
                <w:szCs w:val="20"/>
                <w:lang w:val="en-US" w:eastAsia="zh-CN"/>
              </w:rPr>
            </w:pPr>
            <w:r>
              <w:rPr>
                <w:rFonts w:hint="eastAsia" w:ascii="仿宋" w:hAnsi="仿宋" w:eastAsia="仿宋" w:cs="宋体"/>
                <w:kern w:val="0"/>
                <w:sz w:val="20"/>
                <w:szCs w:val="20"/>
                <w:lang w:val="en-US" w:eastAsia="zh-CN"/>
              </w:rPr>
              <w:t>6</w:t>
            </w:r>
          </w:p>
        </w:tc>
      </w:tr>
      <w:tr>
        <w:tblPrEx>
          <w:tblCellMar>
            <w:top w:w="0" w:type="dxa"/>
            <w:left w:w="108" w:type="dxa"/>
            <w:bottom w:w="0" w:type="dxa"/>
            <w:right w:w="108" w:type="dxa"/>
          </w:tblCellMar>
        </w:tblPrEx>
        <w:trPr>
          <w:trHeight w:val="450" w:hRule="atLeast"/>
        </w:trPr>
        <w:tc>
          <w:tcPr>
            <w:tcW w:w="5000" w:type="pct"/>
            <w:gridSpan w:val="9"/>
            <w:tcBorders>
              <w:left w:val="single" w:color="auto" w:sz="4" w:space="0"/>
              <w:bottom w:val="single" w:color="auto" w:sz="4" w:space="0"/>
              <w:right w:val="single" w:color="auto" w:sz="4" w:space="0"/>
            </w:tcBorders>
            <w:vAlign w:val="center"/>
          </w:tcPr>
          <w:p>
            <w:pPr>
              <w:widowControl/>
              <w:rPr>
                <w:rFonts w:ascii="仿宋" w:hAnsi="仿宋" w:eastAsia="仿宋" w:cs="宋体"/>
                <w:kern w:val="0"/>
                <w:sz w:val="20"/>
                <w:szCs w:val="20"/>
              </w:rPr>
            </w:pPr>
            <w:r>
              <w:rPr>
                <w:rFonts w:hint="eastAsia" w:ascii="仿宋" w:hAnsi="仿宋" w:eastAsia="仿宋" w:cs="宋体"/>
                <w:kern w:val="0"/>
                <w:sz w:val="20"/>
                <w:szCs w:val="20"/>
              </w:rPr>
              <w:t>年度目标</w:t>
            </w:r>
            <w:r>
              <w:rPr>
                <w:rFonts w:hint="eastAsia" w:ascii="仿宋" w:hAnsi="仿宋" w:eastAsia="仿宋" w:cs="宋体"/>
                <w:kern w:val="0"/>
                <w:sz w:val="20"/>
                <w:szCs w:val="20"/>
                <w:lang w:val="en-US" w:eastAsia="zh-CN"/>
              </w:rPr>
              <w:t>5</w:t>
            </w:r>
            <w:r>
              <w:rPr>
                <w:rFonts w:hint="eastAsia" w:ascii="仿宋" w:hAnsi="仿宋" w:eastAsia="仿宋" w:cs="宋体"/>
                <w:kern w:val="0"/>
                <w:sz w:val="20"/>
                <w:szCs w:val="20"/>
              </w:rPr>
              <w:t>（</w:t>
            </w:r>
            <w:r>
              <w:rPr>
                <w:rFonts w:hint="eastAsia" w:ascii="仿宋" w:hAnsi="仿宋" w:eastAsia="仿宋" w:cs="宋体"/>
                <w:kern w:val="0"/>
                <w:sz w:val="20"/>
                <w:szCs w:val="20"/>
                <w:lang w:val="en-US" w:eastAsia="zh-CN"/>
              </w:rPr>
              <w:t>16</w:t>
            </w:r>
            <w:r>
              <w:rPr>
                <w:rFonts w:hint="eastAsia" w:ascii="仿宋" w:hAnsi="仿宋" w:eastAsia="仿宋" w:cs="宋体"/>
                <w:kern w:val="0"/>
                <w:sz w:val="20"/>
                <w:szCs w:val="20"/>
              </w:rPr>
              <w:t>分）: 进一步加强学习教育，迅速掀起学习宣传贯彻党的精神热潮；强化目标管理，增 强创优意识，着力加强政治建设，驰而不息常态化抓正风肃纪，深入推进依法行政。</w:t>
            </w:r>
          </w:p>
        </w:tc>
      </w:tr>
      <w:tr>
        <w:tblPrEx>
          <w:tblCellMar>
            <w:top w:w="0" w:type="dxa"/>
            <w:left w:w="108" w:type="dxa"/>
            <w:bottom w:w="0" w:type="dxa"/>
            <w:right w:w="108" w:type="dxa"/>
          </w:tblCellMar>
        </w:tblPrEx>
        <w:trPr>
          <w:trHeight w:val="450" w:hRule="atLeast"/>
        </w:trPr>
        <w:tc>
          <w:tcPr>
            <w:tcW w:w="340" w:type="pct"/>
            <w:vMerge w:val="restart"/>
            <w:tcBorders>
              <w:left w:val="single" w:color="auto" w:sz="4" w:space="0"/>
              <w:right w:val="single" w:color="auto" w:sz="4" w:space="0"/>
            </w:tcBorders>
            <w:vAlign w:val="center"/>
          </w:tcPr>
          <w:p>
            <w:pPr>
              <w:widowControl/>
              <w:jc w:val="left"/>
              <w:rPr>
                <w:rFonts w:ascii="仿宋" w:hAnsi="仿宋" w:eastAsia="仿宋" w:cs="宋体"/>
                <w:kern w:val="0"/>
                <w:sz w:val="20"/>
                <w:szCs w:val="20"/>
              </w:rPr>
            </w:pPr>
            <w:r>
              <w:rPr>
                <w:rFonts w:hint="eastAsia" w:ascii="仿宋" w:hAnsi="仿宋" w:eastAsia="仿宋" w:cs="宋体"/>
                <w:kern w:val="0"/>
                <w:sz w:val="20"/>
                <w:szCs w:val="20"/>
              </w:rPr>
              <w:t>度绩效指标</w:t>
            </w:r>
          </w:p>
        </w:tc>
        <w:tc>
          <w:tcPr>
            <w:tcW w:w="683" w:type="pct"/>
            <w:tcBorders>
              <w:top w:val="nil"/>
              <w:left w:val="single" w:color="auto" w:sz="4" w:space="0"/>
              <w:bottom w:val="single" w:color="auto" w:sz="4" w:space="0"/>
              <w:right w:val="single" w:color="auto" w:sz="4" w:space="0"/>
            </w:tcBorders>
            <w:vAlign w:val="center"/>
          </w:tcPr>
          <w:p>
            <w:pPr>
              <w:widowControl/>
              <w:jc w:val="center"/>
              <w:rPr>
                <w:rFonts w:hint="eastAsia" w:ascii="仿宋" w:hAnsi="仿宋" w:eastAsia="仿宋" w:cs="宋体"/>
                <w:kern w:val="0"/>
                <w:sz w:val="20"/>
                <w:szCs w:val="20"/>
                <w:lang w:eastAsia="zh-CN"/>
              </w:rPr>
            </w:pPr>
            <w:r>
              <w:rPr>
                <w:rFonts w:hint="eastAsia" w:ascii="仿宋" w:hAnsi="仿宋" w:eastAsia="仿宋" w:cs="宋体"/>
                <w:kern w:val="0"/>
                <w:sz w:val="20"/>
                <w:szCs w:val="20"/>
              </w:rPr>
              <w:t>一级</w:t>
            </w:r>
          </w:p>
          <w:p>
            <w:pPr>
              <w:widowControl/>
              <w:jc w:val="center"/>
              <w:rPr>
                <w:rFonts w:ascii="仿宋" w:hAnsi="仿宋" w:eastAsia="仿宋" w:cs="宋体"/>
                <w:kern w:val="0"/>
                <w:sz w:val="20"/>
                <w:szCs w:val="20"/>
              </w:rPr>
            </w:pPr>
            <w:r>
              <w:rPr>
                <w:rFonts w:hint="eastAsia" w:ascii="仿宋" w:hAnsi="仿宋" w:eastAsia="仿宋" w:cs="宋体"/>
                <w:kern w:val="0"/>
                <w:sz w:val="20"/>
                <w:szCs w:val="20"/>
              </w:rPr>
              <w:t>指标</w:t>
            </w:r>
          </w:p>
        </w:tc>
        <w:tc>
          <w:tcPr>
            <w:tcW w:w="839"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二级指标</w:t>
            </w:r>
          </w:p>
        </w:tc>
        <w:tc>
          <w:tcPr>
            <w:tcW w:w="1079" w:type="pct"/>
            <w:tcBorders>
              <w:top w:val="nil"/>
              <w:left w:val="nil"/>
              <w:bottom w:val="single" w:color="auto" w:sz="4" w:space="0"/>
              <w:right w:val="single" w:color="auto" w:sz="4" w:space="0"/>
            </w:tcBorders>
            <w:shd w:val="clear" w:color="auto" w:fill="auto"/>
            <w:vAlign w:val="center"/>
          </w:tcPr>
          <w:p>
            <w:pPr>
              <w:widowControl/>
              <w:jc w:val="center"/>
              <w:rPr>
                <w:color w:val="000000"/>
                <w:sz w:val="20"/>
                <w:szCs w:val="20"/>
              </w:rPr>
            </w:pPr>
            <w:r>
              <w:rPr>
                <w:rFonts w:hint="eastAsia" w:ascii="仿宋" w:hAnsi="仿宋" w:eastAsia="仿宋" w:cs="宋体"/>
                <w:kern w:val="0"/>
                <w:sz w:val="20"/>
                <w:szCs w:val="20"/>
              </w:rPr>
              <w:t>指标名称</w:t>
            </w:r>
          </w:p>
        </w:tc>
        <w:tc>
          <w:tcPr>
            <w:tcW w:w="726" w:type="pct"/>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rPr>
            </w:pPr>
            <w:r>
              <w:rPr>
                <w:rFonts w:hint="eastAsia" w:ascii="仿宋" w:hAnsi="仿宋" w:eastAsia="仿宋" w:cs="宋体"/>
                <w:kern w:val="0"/>
                <w:sz w:val="20"/>
                <w:szCs w:val="20"/>
              </w:rPr>
              <w:t>年初</w:t>
            </w:r>
          </w:p>
          <w:p>
            <w:pPr>
              <w:widowControl/>
              <w:jc w:val="center"/>
              <w:rPr>
                <w:color w:val="000000"/>
                <w:sz w:val="20"/>
                <w:szCs w:val="20"/>
              </w:rPr>
            </w:pPr>
            <w:r>
              <w:rPr>
                <w:rFonts w:hint="eastAsia" w:ascii="仿宋" w:hAnsi="仿宋" w:eastAsia="仿宋" w:cs="宋体"/>
                <w:kern w:val="0"/>
                <w:sz w:val="20"/>
                <w:szCs w:val="20"/>
              </w:rPr>
              <w:t>指标值</w:t>
            </w:r>
          </w:p>
        </w:tc>
        <w:tc>
          <w:tcPr>
            <w:tcW w:w="730" w:type="pct"/>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rPr>
            </w:pPr>
            <w:r>
              <w:rPr>
                <w:rFonts w:hint="eastAsia" w:ascii="仿宋" w:hAnsi="仿宋" w:eastAsia="仿宋" w:cs="宋体"/>
                <w:kern w:val="0"/>
                <w:sz w:val="20"/>
                <w:szCs w:val="20"/>
              </w:rPr>
              <w:t>实际</w:t>
            </w:r>
          </w:p>
          <w:p>
            <w:pPr>
              <w:widowControl/>
              <w:jc w:val="center"/>
              <w:rPr>
                <w:rFonts w:ascii="仿宋" w:hAnsi="仿宋" w:eastAsia="仿宋" w:cs="宋体"/>
                <w:kern w:val="0"/>
                <w:sz w:val="20"/>
                <w:szCs w:val="20"/>
              </w:rPr>
            </w:pPr>
            <w:r>
              <w:rPr>
                <w:rFonts w:hint="eastAsia" w:ascii="仿宋" w:hAnsi="仿宋" w:eastAsia="仿宋" w:cs="宋体"/>
                <w:kern w:val="0"/>
                <w:sz w:val="20"/>
                <w:szCs w:val="20"/>
              </w:rPr>
              <w:t>完成值</w:t>
            </w:r>
          </w:p>
        </w:tc>
        <w:tc>
          <w:tcPr>
            <w:tcW w:w="598"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得分</w:t>
            </w:r>
          </w:p>
        </w:tc>
      </w:tr>
      <w:tr>
        <w:tblPrEx>
          <w:tblCellMar>
            <w:top w:w="0" w:type="dxa"/>
            <w:left w:w="108" w:type="dxa"/>
            <w:bottom w:w="0" w:type="dxa"/>
            <w:right w:w="108" w:type="dxa"/>
          </w:tblCellMar>
        </w:tblPrEx>
        <w:trPr>
          <w:trHeight w:val="450" w:hRule="atLeast"/>
        </w:trPr>
        <w:tc>
          <w:tcPr>
            <w:tcW w:w="340" w:type="pct"/>
            <w:vMerge w:val="continue"/>
            <w:tcBorders>
              <w:left w:val="single" w:color="auto" w:sz="4" w:space="0"/>
              <w:right w:val="single" w:color="auto" w:sz="4" w:space="0"/>
            </w:tcBorders>
            <w:vAlign w:val="center"/>
          </w:tcPr>
          <w:p>
            <w:pPr>
              <w:widowControl/>
              <w:jc w:val="left"/>
              <w:rPr>
                <w:rFonts w:ascii="仿宋" w:hAnsi="仿宋" w:eastAsia="仿宋" w:cs="宋体"/>
                <w:kern w:val="0"/>
                <w:sz w:val="20"/>
                <w:szCs w:val="20"/>
              </w:rPr>
            </w:pPr>
          </w:p>
        </w:tc>
        <w:tc>
          <w:tcPr>
            <w:tcW w:w="683" w:type="pct"/>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宋体"/>
                <w:kern w:val="0"/>
                <w:sz w:val="20"/>
                <w:szCs w:val="20"/>
              </w:rPr>
            </w:pPr>
            <w:r>
              <w:rPr>
                <w:rFonts w:hint="eastAsia" w:ascii="仿宋" w:hAnsi="仿宋" w:eastAsia="仿宋" w:cs="宋体"/>
                <w:kern w:val="0"/>
                <w:sz w:val="20"/>
                <w:szCs w:val="20"/>
              </w:rPr>
              <w:t>产出指标</w:t>
            </w:r>
          </w:p>
          <w:p>
            <w:pPr>
              <w:widowControl/>
              <w:jc w:val="center"/>
              <w:rPr>
                <w:rFonts w:hint="eastAsia" w:ascii="仿宋" w:hAnsi="仿宋" w:eastAsia="仿宋" w:cs="宋体"/>
                <w:kern w:val="0"/>
                <w:sz w:val="20"/>
                <w:szCs w:val="20"/>
              </w:rPr>
            </w:pPr>
            <w:r>
              <w:rPr>
                <w:rFonts w:hint="eastAsia" w:ascii="仿宋" w:hAnsi="仿宋" w:eastAsia="仿宋" w:cs="宋体"/>
                <w:kern w:val="0"/>
                <w:sz w:val="20"/>
                <w:szCs w:val="20"/>
              </w:rPr>
              <w:t>（</w:t>
            </w:r>
            <w:r>
              <w:rPr>
                <w:rFonts w:hint="eastAsia" w:ascii="仿宋" w:hAnsi="仿宋" w:eastAsia="仿宋" w:cs="宋体"/>
                <w:kern w:val="0"/>
                <w:sz w:val="20"/>
                <w:szCs w:val="20"/>
                <w:lang w:val="en-US" w:eastAsia="zh-CN"/>
              </w:rPr>
              <w:t>8</w:t>
            </w:r>
            <w:r>
              <w:rPr>
                <w:rFonts w:hint="eastAsia" w:ascii="仿宋" w:hAnsi="仿宋" w:eastAsia="仿宋" w:cs="宋体"/>
                <w:kern w:val="0"/>
                <w:sz w:val="20"/>
                <w:szCs w:val="20"/>
              </w:rPr>
              <w:t>分）</w:t>
            </w:r>
          </w:p>
        </w:tc>
        <w:tc>
          <w:tcPr>
            <w:tcW w:w="839"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rPr>
            </w:pPr>
            <w:r>
              <w:rPr>
                <w:rFonts w:hint="eastAsia" w:ascii="仿宋" w:hAnsi="仿宋" w:eastAsia="仿宋" w:cs="宋体"/>
                <w:kern w:val="0"/>
                <w:sz w:val="20"/>
                <w:szCs w:val="20"/>
              </w:rPr>
              <w:t>数量指标</w:t>
            </w:r>
          </w:p>
        </w:tc>
        <w:tc>
          <w:tcPr>
            <w:tcW w:w="1079" w:type="pct"/>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rPr>
            </w:pPr>
            <w:r>
              <w:rPr>
                <w:rFonts w:hint="eastAsia" w:ascii="仿宋" w:hAnsi="仿宋" w:eastAsia="仿宋" w:cs="宋体"/>
                <w:kern w:val="0"/>
                <w:sz w:val="20"/>
                <w:szCs w:val="20"/>
              </w:rPr>
              <w:t>“两学一做”</w:t>
            </w:r>
          </w:p>
          <w:p>
            <w:pPr>
              <w:widowControl/>
              <w:jc w:val="center"/>
              <w:rPr>
                <w:rFonts w:hint="eastAsia" w:ascii="仿宋" w:hAnsi="仿宋" w:eastAsia="仿宋" w:cs="宋体"/>
                <w:kern w:val="0"/>
                <w:sz w:val="20"/>
                <w:szCs w:val="20"/>
              </w:rPr>
            </w:pPr>
            <w:r>
              <w:rPr>
                <w:rFonts w:hint="eastAsia" w:ascii="仿宋" w:hAnsi="仿宋" w:eastAsia="仿宋" w:cs="宋体"/>
                <w:kern w:val="0"/>
                <w:sz w:val="20"/>
                <w:szCs w:val="20"/>
              </w:rPr>
              <w:t>推进度</w:t>
            </w:r>
          </w:p>
        </w:tc>
        <w:tc>
          <w:tcPr>
            <w:tcW w:w="726" w:type="pct"/>
            <w:gridSpan w:val="2"/>
            <w:tcBorders>
              <w:top w:val="nil"/>
              <w:left w:val="nil"/>
              <w:bottom w:val="single" w:color="auto" w:sz="4" w:space="0"/>
              <w:right w:val="single" w:color="auto" w:sz="4" w:space="0"/>
            </w:tcBorders>
            <w:shd w:val="clear" w:color="auto" w:fill="auto"/>
            <w:vAlign w:val="center"/>
          </w:tcPr>
          <w:p>
            <w:pPr>
              <w:widowControl/>
              <w:jc w:val="center"/>
              <w:rPr>
                <w:rFonts w:hint="default" w:ascii="仿宋" w:hAnsi="仿宋" w:eastAsia="仿宋" w:cs="宋体"/>
                <w:kern w:val="0"/>
                <w:sz w:val="20"/>
                <w:szCs w:val="20"/>
                <w:lang w:val="en-US" w:eastAsia="zh-CN"/>
              </w:rPr>
            </w:pPr>
            <w:r>
              <w:rPr>
                <w:rFonts w:hint="eastAsia" w:ascii="仿宋" w:hAnsi="仿宋" w:eastAsia="仿宋" w:cs="宋体"/>
                <w:kern w:val="0"/>
                <w:sz w:val="20"/>
                <w:szCs w:val="20"/>
                <w:lang w:val="en-US" w:eastAsia="zh-CN"/>
              </w:rPr>
              <w:t>有效推进</w:t>
            </w:r>
          </w:p>
        </w:tc>
        <w:tc>
          <w:tcPr>
            <w:tcW w:w="1246" w:type="dxa"/>
            <w:gridSpan w:val="2"/>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lang w:val="en-US" w:eastAsia="zh-CN"/>
              </w:rPr>
              <w:t>有效推进</w:t>
            </w:r>
          </w:p>
        </w:tc>
        <w:tc>
          <w:tcPr>
            <w:tcW w:w="598" w:type="pct"/>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lang w:val="en-US" w:eastAsia="zh-CN"/>
              </w:rPr>
            </w:pPr>
            <w:r>
              <w:rPr>
                <w:rFonts w:hint="eastAsia" w:ascii="仿宋" w:hAnsi="仿宋" w:eastAsia="仿宋" w:cs="宋体"/>
                <w:kern w:val="0"/>
                <w:sz w:val="20"/>
                <w:szCs w:val="20"/>
                <w:lang w:val="en-US" w:eastAsia="zh-CN"/>
              </w:rPr>
              <w:t>4</w:t>
            </w:r>
          </w:p>
        </w:tc>
      </w:tr>
      <w:tr>
        <w:tblPrEx>
          <w:tblCellMar>
            <w:top w:w="0" w:type="dxa"/>
            <w:left w:w="108" w:type="dxa"/>
            <w:bottom w:w="0" w:type="dxa"/>
            <w:right w:w="108" w:type="dxa"/>
          </w:tblCellMar>
        </w:tblPrEx>
        <w:trPr>
          <w:trHeight w:val="450" w:hRule="atLeast"/>
        </w:trPr>
        <w:tc>
          <w:tcPr>
            <w:tcW w:w="340" w:type="pct"/>
            <w:vMerge w:val="continue"/>
            <w:tcBorders>
              <w:left w:val="single" w:color="auto" w:sz="4" w:space="0"/>
              <w:right w:val="single" w:color="auto" w:sz="4" w:space="0"/>
            </w:tcBorders>
            <w:vAlign w:val="center"/>
          </w:tcPr>
          <w:p>
            <w:pPr>
              <w:widowControl/>
              <w:jc w:val="left"/>
              <w:rPr>
                <w:rFonts w:ascii="仿宋" w:hAnsi="仿宋" w:eastAsia="仿宋" w:cs="宋体"/>
                <w:kern w:val="0"/>
                <w:sz w:val="20"/>
                <w:szCs w:val="20"/>
              </w:rPr>
            </w:pPr>
          </w:p>
        </w:tc>
        <w:tc>
          <w:tcPr>
            <w:tcW w:w="683" w:type="pct"/>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宋体"/>
                <w:kern w:val="0"/>
                <w:sz w:val="20"/>
                <w:szCs w:val="20"/>
              </w:rPr>
            </w:pPr>
          </w:p>
        </w:tc>
        <w:tc>
          <w:tcPr>
            <w:tcW w:w="839"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rPr>
            </w:pPr>
          </w:p>
        </w:tc>
        <w:tc>
          <w:tcPr>
            <w:tcW w:w="1079" w:type="pct"/>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rPr>
            </w:pPr>
            <w:r>
              <w:rPr>
                <w:rFonts w:hint="eastAsia" w:ascii="仿宋" w:hAnsi="仿宋" w:eastAsia="仿宋" w:cs="宋体"/>
                <w:kern w:val="0"/>
                <w:sz w:val="20"/>
                <w:szCs w:val="20"/>
              </w:rPr>
              <w:t>基层党组织建设</w:t>
            </w:r>
          </w:p>
        </w:tc>
        <w:tc>
          <w:tcPr>
            <w:tcW w:w="726" w:type="pct"/>
            <w:gridSpan w:val="2"/>
            <w:tcBorders>
              <w:top w:val="nil"/>
              <w:left w:val="nil"/>
              <w:bottom w:val="single" w:color="auto" w:sz="4" w:space="0"/>
              <w:right w:val="single" w:color="auto" w:sz="4" w:space="0"/>
            </w:tcBorders>
            <w:shd w:val="clear" w:color="auto" w:fill="auto"/>
            <w:vAlign w:val="center"/>
          </w:tcPr>
          <w:p>
            <w:pPr>
              <w:widowControl/>
              <w:jc w:val="center"/>
              <w:rPr>
                <w:rFonts w:hint="default" w:ascii="仿宋" w:hAnsi="仿宋" w:eastAsia="仿宋" w:cs="宋体"/>
                <w:kern w:val="0"/>
                <w:sz w:val="20"/>
                <w:szCs w:val="20"/>
                <w:lang w:val="en-US" w:eastAsia="zh-CN"/>
              </w:rPr>
            </w:pPr>
            <w:r>
              <w:rPr>
                <w:rFonts w:hint="eastAsia" w:ascii="仿宋" w:hAnsi="仿宋" w:eastAsia="仿宋" w:cs="宋体"/>
                <w:kern w:val="0"/>
                <w:sz w:val="20"/>
                <w:szCs w:val="20"/>
                <w:lang w:val="en-US" w:eastAsia="zh-CN"/>
              </w:rPr>
              <w:t>100%</w:t>
            </w:r>
          </w:p>
        </w:tc>
        <w:tc>
          <w:tcPr>
            <w:tcW w:w="1246" w:type="dxa"/>
            <w:gridSpan w:val="2"/>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lang w:val="en-US" w:eastAsia="zh-CN"/>
              </w:rPr>
              <w:t>100%</w:t>
            </w:r>
          </w:p>
        </w:tc>
        <w:tc>
          <w:tcPr>
            <w:tcW w:w="598" w:type="pct"/>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lang w:val="en-US" w:eastAsia="zh-CN"/>
              </w:rPr>
            </w:pPr>
            <w:r>
              <w:rPr>
                <w:rFonts w:hint="eastAsia" w:ascii="仿宋" w:hAnsi="仿宋" w:eastAsia="仿宋" w:cs="宋体"/>
                <w:kern w:val="0"/>
                <w:sz w:val="20"/>
                <w:szCs w:val="20"/>
                <w:lang w:val="en-US" w:eastAsia="zh-CN"/>
              </w:rPr>
              <w:t>4</w:t>
            </w:r>
          </w:p>
        </w:tc>
      </w:tr>
      <w:tr>
        <w:tblPrEx>
          <w:tblCellMar>
            <w:top w:w="0" w:type="dxa"/>
            <w:left w:w="108" w:type="dxa"/>
            <w:bottom w:w="0" w:type="dxa"/>
            <w:right w:w="108" w:type="dxa"/>
          </w:tblCellMar>
        </w:tblPrEx>
        <w:trPr>
          <w:trHeight w:val="450" w:hRule="atLeast"/>
        </w:trPr>
        <w:tc>
          <w:tcPr>
            <w:tcW w:w="340" w:type="pct"/>
            <w:vMerge w:val="continue"/>
            <w:tcBorders>
              <w:left w:val="single" w:color="auto" w:sz="4" w:space="0"/>
              <w:right w:val="single" w:color="auto" w:sz="4" w:space="0"/>
            </w:tcBorders>
            <w:vAlign w:val="center"/>
          </w:tcPr>
          <w:p>
            <w:pPr>
              <w:widowControl/>
              <w:jc w:val="left"/>
              <w:rPr>
                <w:rFonts w:ascii="仿宋" w:hAnsi="仿宋" w:eastAsia="仿宋" w:cs="宋体"/>
                <w:kern w:val="0"/>
                <w:sz w:val="20"/>
                <w:szCs w:val="20"/>
              </w:rPr>
            </w:pPr>
          </w:p>
        </w:tc>
        <w:tc>
          <w:tcPr>
            <w:tcW w:w="683" w:type="pct"/>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宋体"/>
                <w:kern w:val="0"/>
                <w:sz w:val="20"/>
                <w:szCs w:val="20"/>
              </w:rPr>
            </w:pPr>
            <w:r>
              <w:rPr>
                <w:rFonts w:hint="eastAsia" w:ascii="仿宋" w:hAnsi="仿宋" w:eastAsia="仿宋" w:cs="宋体"/>
                <w:kern w:val="0"/>
                <w:sz w:val="20"/>
                <w:szCs w:val="20"/>
              </w:rPr>
              <w:t>效益指标</w:t>
            </w:r>
          </w:p>
          <w:p>
            <w:pPr>
              <w:widowControl/>
              <w:jc w:val="center"/>
              <w:rPr>
                <w:rFonts w:hint="eastAsia" w:ascii="仿宋" w:hAnsi="仿宋" w:eastAsia="仿宋" w:cs="宋体"/>
                <w:kern w:val="0"/>
                <w:sz w:val="20"/>
                <w:szCs w:val="20"/>
              </w:rPr>
            </w:pPr>
            <w:r>
              <w:rPr>
                <w:rFonts w:hint="eastAsia" w:ascii="仿宋" w:hAnsi="仿宋" w:eastAsia="仿宋" w:cs="宋体"/>
                <w:kern w:val="0"/>
                <w:sz w:val="20"/>
                <w:szCs w:val="20"/>
              </w:rPr>
              <w:t>（</w:t>
            </w:r>
            <w:r>
              <w:rPr>
                <w:rFonts w:hint="eastAsia" w:ascii="仿宋" w:hAnsi="仿宋" w:eastAsia="仿宋" w:cs="宋体"/>
                <w:kern w:val="0"/>
                <w:sz w:val="20"/>
                <w:szCs w:val="20"/>
                <w:lang w:val="en-US" w:eastAsia="zh-CN"/>
              </w:rPr>
              <w:t>8</w:t>
            </w:r>
            <w:r>
              <w:rPr>
                <w:rFonts w:hint="eastAsia" w:ascii="仿宋" w:hAnsi="仿宋" w:eastAsia="仿宋" w:cs="宋体"/>
                <w:kern w:val="0"/>
                <w:sz w:val="20"/>
                <w:szCs w:val="20"/>
              </w:rPr>
              <w:t>分）</w:t>
            </w:r>
          </w:p>
        </w:tc>
        <w:tc>
          <w:tcPr>
            <w:tcW w:w="839"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rPr>
            </w:pPr>
            <w:r>
              <w:rPr>
                <w:rFonts w:hint="eastAsia" w:ascii="仿宋" w:hAnsi="仿宋" w:eastAsia="仿宋" w:cs="宋体"/>
                <w:kern w:val="0"/>
                <w:sz w:val="20"/>
                <w:szCs w:val="20"/>
              </w:rPr>
              <w:t>社会效益</w:t>
            </w:r>
          </w:p>
          <w:p>
            <w:pPr>
              <w:widowControl/>
              <w:jc w:val="center"/>
              <w:rPr>
                <w:rFonts w:hint="eastAsia" w:ascii="仿宋" w:hAnsi="仿宋" w:eastAsia="仿宋" w:cs="宋体"/>
                <w:kern w:val="0"/>
                <w:sz w:val="20"/>
                <w:szCs w:val="20"/>
              </w:rPr>
            </w:pPr>
            <w:r>
              <w:rPr>
                <w:rFonts w:hint="eastAsia" w:ascii="仿宋" w:hAnsi="仿宋" w:eastAsia="仿宋" w:cs="宋体"/>
                <w:kern w:val="0"/>
                <w:sz w:val="20"/>
                <w:szCs w:val="20"/>
              </w:rPr>
              <w:t>指标</w:t>
            </w:r>
          </w:p>
        </w:tc>
        <w:tc>
          <w:tcPr>
            <w:tcW w:w="1079" w:type="pct"/>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rPr>
            </w:pPr>
            <w:r>
              <w:rPr>
                <w:rFonts w:hint="eastAsia" w:ascii="仿宋" w:hAnsi="仿宋" w:eastAsia="仿宋" w:cs="宋体"/>
                <w:kern w:val="0"/>
                <w:sz w:val="20"/>
                <w:szCs w:val="20"/>
              </w:rPr>
              <w:t>党风党纪问题整改到位率</w:t>
            </w:r>
          </w:p>
        </w:tc>
        <w:tc>
          <w:tcPr>
            <w:tcW w:w="726" w:type="pct"/>
            <w:gridSpan w:val="2"/>
            <w:tcBorders>
              <w:top w:val="nil"/>
              <w:left w:val="nil"/>
              <w:bottom w:val="single" w:color="auto" w:sz="4" w:space="0"/>
              <w:right w:val="single" w:color="auto" w:sz="4" w:space="0"/>
            </w:tcBorders>
            <w:shd w:val="clear" w:color="auto" w:fill="auto"/>
            <w:vAlign w:val="center"/>
          </w:tcPr>
          <w:p>
            <w:pPr>
              <w:widowControl/>
              <w:jc w:val="center"/>
              <w:rPr>
                <w:rFonts w:hint="default" w:ascii="仿宋" w:hAnsi="仿宋" w:eastAsia="仿宋" w:cs="宋体"/>
                <w:kern w:val="0"/>
                <w:sz w:val="20"/>
                <w:szCs w:val="20"/>
                <w:lang w:val="en-US" w:eastAsia="zh-CN"/>
              </w:rPr>
            </w:pPr>
            <w:r>
              <w:rPr>
                <w:rFonts w:hint="eastAsia" w:ascii="仿宋" w:hAnsi="仿宋" w:eastAsia="仿宋" w:cs="宋体"/>
                <w:kern w:val="0"/>
                <w:sz w:val="20"/>
                <w:szCs w:val="20"/>
                <w:lang w:val="en-US" w:eastAsia="zh-CN"/>
              </w:rPr>
              <w:t>100%</w:t>
            </w:r>
          </w:p>
        </w:tc>
        <w:tc>
          <w:tcPr>
            <w:tcW w:w="1246" w:type="dxa"/>
            <w:gridSpan w:val="2"/>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lang w:val="en-US" w:eastAsia="zh-CN"/>
              </w:rPr>
              <w:t>100%</w:t>
            </w:r>
          </w:p>
        </w:tc>
        <w:tc>
          <w:tcPr>
            <w:tcW w:w="598" w:type="pct"/>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lang w:val="en-US" w:eastAsia="zh-CN"/>
              </w:rPr>
            </w:pPr>
            <w:r>
              <w:rPr>
                <w:rFonts w:hint="eastAsia" w:ascii="仿宋" w:hAnsi="仿宋" w:eastAsia="仿宋" w:cs="宋体"/>
                <w:kern w:val="0"/>
                <w:sz w:val="20"/>
                <w:szCs w:val="20"/>
                <w:lang w:val="en-US" w:eastAsia="zh-CN"/>
              </w:rPr>
              <w:t>4</w:t>
            </w:r>
          </w:p>
        </w:tc>
      </w:tr>
      <w:tr>
        <w:tblPrEx>
          <w:tblCellMar>
            <w:top w:w="0" w:type="dxa"/>
            <w:left w:w="108" w:type="dxa"/>
            <w:bottom w:w="0" w:type="dxa"/>
            <w:right w:w="108" w:type="dxa"/>
          </w:tblCellMar>
        </w:tblPrEx>
        <w:trPr>
          <w:trHeight w:val="450" w:hRule="atLeast"/>
        </w:trPr>
        <w:tc>
          <w:tcPr>
            <w:tcW w:w="340" w:type="pct"/>
            <w:vMerge w:val="continue"/>
            <w:tcBorders>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0"/>
                <w:szCs w:val="20"/>
              </w:rPr>
            </w:pPr>
          </w:p>
        </w:tc>
        <w:tc>
          <w:tcPr>
            <w:tcW w:w="68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0"/>
                <w:szCs w:val="20"/>
              </w:rPr>
            </w:pPr>
          </w:p>
        </w:tc>
        <w:tc>
          <w:tcPr>
            <w:tcW w:w="839" w:type="pct"/>
            <w:vMerge w:val="continue"/>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rPr>
            </w:pPr>
          </w:p>
        </w:tc>
        <w:tc>
          <w:tcPr>
            <w:tcW w:w="1079" w:type="pct"/>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rPr>
            </w:pPr>
            <w:r>
              <w:rPr>
                <w:rFonts w:hint="eastAsia" w:ascii="仿宋" w:hAnsi="仿宋" w:eastAsia="仿宋" w:cs="宋体"/>
                <w:kern w:val="0"/>
                <w:sz w:val="20"/>
                <w:szCs w:val="20"/>
              </w:rPr>
              <w:t>社会综合治理工作办结率</w:t>
            </w:r>
          </w:p>
        </w:tc>
        <w:tc>
          <w:tcPr>
            <w:tcW w:w="726" w:type="pct"/>
            <w:gridSpan w:val="2"/>
            <w:tcBorders>
              <w:top w:val="nil"/>
              <w:left w:val="nil"/>
              <w:bottom w:val="single" w:color="auto" w:sz="4" w:space="0"/>
              <w:right w:val="single" w:color="auto" w:sz="4" w:space="0"/>
            </w:tcBorders>
            <w:shd w:val="clear" w:color="auto" w:fill="auto"/>
            <w:vAlign w:val="center"/>
          </w:tcPr>
          <w:p>
            <w:pPr>
              <w:widowControl/>
              <w:jc w:val="center"/>
              <w:rPr>
                <w:rFonts w:hint="default" w:ascii="仿宋" w:hAnsi="仿宋" w:eastAsia="仿宋" w:cs="宋体"/>
                <w:kern w:val="0"/>
                <w:sz w:val="20"/>
                <w:szCs w:val="20"/>
                <w:lang w:val="en-US" w:eastAsia="zh-CN"/>
              </w:rPr>
            </w:pPr>
            <w:r>
              <w:rPr>
                <w:rFonts w:hint="eastAsia" w:ascii="仿宋" w:hAnsi="仿宋" w:eastAsia="仿宋" w:cs="宋体"/>
                <w:kern w:val="0"/>
                <w:sz w:val="20"/>
                <w:szCs w:val="20"/>
                <w:lang w:val="en-US" w:eastAsia="zh-CN"/>
              </w:rPr>
              <w:t>100%</w:t>
            </w:r>
          </w:p>
        </w:tc>
        <w:tc>
          <w:tcPr>
            <w:tcW w:w="1246" w:type="dxa"/>
            <w:gridSpan w:val="2"/>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lang w:val="en-US" w:eastAsia="zh-CN"/>
              </w:rPr>
              <w:t>100%</w:t>
            </w:r>
          </w:p>
        </w:tc>
        <w:tc>
          <w:tcPr>
            <w:tcW w:w="598" w:type="pct"/>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lang w:val="en-US" w:eastAsia="zh-CN"/>
              </w:rPr>
            </w:pPr>
            <w:r>
              <w:rPr>
                <w:rFonts w:hint="eastAsia" w:ascii="仿宋" w:hAnsi="仿宋" w:eastAsia="仿宋" w:cs="宋体"/>
                <w:kern w:val="0"/>
                <w:sz w:val="20"/>
                <w:szCs w:val="20"/>
                <w:lang w:val="en-US" w:eastAsia="zh-CN"/>
              </w:rPr>
              <w:t>4</w:t>
            </w:r>
          </w:p>
        </w:tc>
      </w:tr>
      <w:tr>
        <w:tblPrEx>
          <w:tblCellMar>
            <w:top w:w="0" w:type="dxa"/>
            <w:left w:w="108" w:type="dxa"/>
            <w:bottom w:w="0" w:type="dxa"/>
            <w:right w:w="108" w:type="dxa"/>
          </w:tblCellMar>
        </w:tblPrEx>
        <w:trPr>
          <w:trHeight w:val="619" w:hRule="atLeast"/>
        </w:trPr>
        <w:tc>
          <w:tcPr>
            <w:tcW w:w="340"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总分</w:t>
            </w:r>
          </w:p>
        </w:tc>
        <w:tc>
          <w:tcPr>
            <w:tcW w:w="4659" w:type="pct"/>
            <w:gridSpan w:val="8"/>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9</w:t>
            </w:r>
            <w:r>
              <w:rPr>
                <w:rFonts w:hint="eastAsia" w:ascii="仿宋" w:hAnsi="仿宋" w:eastAsia="仿宋" w:cs="宋体"/>
                <w:color w:val="000000"/>
                <w:kern w:val="0"/>
                <w:sz w:val="20"/>
                <w:szCs w:val="20"/>
                <w:lang w:val="en-US" w:eastAsia="zh-CN"/>
              </w:rPr>
              <w:t>8</w:t>
            </w:r>
            <w:r>
              <w:rPr>
                <w:rFonts w:hint="eastAsia" w:ascii="仿宋" w:hAnsi="仿宋" w:eastAsia="仿宋" w:cs="宋体"/>
                <w:color w:val="000000"/>
                <w:kern w:val="0"/>
                <w:sz w:val="20"/>
                <w:szCs w:val="20"/>
              </w:rPr>
              <w:t>.</w:t>
            </w:r>
            <w:r>
              <w:rPr>
                <w:rFonts w:hint="eastAsia" w:ascii="仿宋" w:hAnsi="仿宋" w:eastAsia="仿宋" w:cs="宋体"/>
                <w:color w:val="000000"/>
                <w:kern w:val="0"/>
                <w:sz w:val="20"/>
                <w:szCs w:val="20"/>
                <w:lang w:val="en-US" w:eastAsia="zh-CN"/>
              </w:rPr>
              <w:t>9</w:t>
            </w:r>
            <w:r>
              <w:rPr>
                <w:rFonts w:hint="eastAsia" w:ascii="仿宋" w:hAnsi="仿宋" w:eastAsia="仿宋" w:cs="宋体"/>
                <w:color w:val="000000"/>
                <w:kern w:val="0"/>
                <w:sz w:val="20"/>
                <w:szCs w:val="20"/>
              </w:rPr>
              <w:t>分</w:t>
            </w:r>
          </w:p>
        </w:tc>
      </w:tr>
      <w:tr>
        <w:tblPrEx>
          <w:tblCellMar>
            <w:top w:w="0" w:type="dxa"/>
            <w:left w:w="108" w:type="dxa"/>
            <w:bottom w:w="0" w:type="dxa"/>
            <w:right w:w="108" w:type="dxa"/>
          </w:tblCellMar>
        </w:tblPrEx>
        <w:trPr>
          <w:trHeight w:val="1542" w:hRule="atLeast"/>
        </w:trPr>
        <w:tc>
          <w:tcPr>
            <w:tcW w:w="340"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偏差大或目标未完成原因分析</w:t>
            </w:r>
          </w:p>
        </w:tc>
        <w:tc>
          <w:tcPr>
            <w:tcW w:w="4659" w:type="pct"/>
            <w:gridSpan w:val="8"/>
            <w:tcBorders>
              <w:top w:val="single" w:color="auto" w:sz="4" w:space="0"/>
              <w:left w:val="nil"/>
              <w:bottom w:val="single" w:color="auto" w:sz="4" w:space="0"/>
              <w:right w:val="single" w:color="auto" w:sz="4" w:space="0"/>
            </w:tcBorders>
            <w:shd w:val="clear" w:color="auto" w:fill="auto"/>
            <w:vAlign w:val="center"/>
          </w:tcPr>
          <w:p>
            <w:pPr>
              <w:widowControl/>
              <w:rPr>
                <w:rFonts w:hint="eastAsia" w:ascii="仿宋" w:hAnsi="仿宋" w:eastAsia="仿宋" w:cs="宋体"/>
                <w:kern w:val="0"/>
                <w:sz w:val="20"/>
                <w:szCs w:val="20"/>
                <w:lang w:val="en-US"/>
              </w:rPr>
            </w:pPr>
            <w:r>
              <w:rPr>
                <w:rFonts w:hint="eastAsia" w:ascii="仿宋" w:hAnsi="仿宋" w:eastAsia="仿宋" w:cs="宋体"/>
                <w:kern w:val="0"/>
                <w:sz w:val="20"/>
                <w:szCs w:val="20"/>
              </w:rPr>
              <w:t>（1）</w:t>
            </w:r>
            <w:r>
              <w:rPr>
                <w:rFonts w:hint="eastAsia" w:ascii="仿宋" w:hAnsi="仿宋" w:eastAsia="仿宋" w:cs="宋体"/>
                <w:kern w:val="0"/>
                <w:sz w:val="20"/>
                <w:szCs w:val="20"/>
                <w:lang w:val="en-US" w:eastAsia="zh-CN"/>
              </w:rPr>
              <w:t>保</w:t>
            </w:r>
            <w:r>
              <w:rPr>
                <w:rFonts w:hint="eastAsia" w:ascii="仿宋" w:hAnsi="仿宋" w:eastAsia="仿宋" w:cs="宋体"/>
                <w:kern w:val="0"/>
                <w:sz w:val="20"/>
                <w:szCs w:val="20"/>
              </w:rPr>
              <w:t>租房保障机制落实率</w:t>
            </w:r>
            <w:r>
              <w:rPr>
                <w:rFonts w:hint="eastAsia" w:ascii="仿宋" w:hAnsi="仿宋" w:eastAsia="仿宋" w:cs="宋体"/>
                <w:kern w:val="0"/>
                <w:sz w:val="20"/>
                <w:szCs w:val="20"/>
                <w:lang w:val="en-US" w:eastAsia="zh-CN"/>
              </w:rPr>
              <w:t>100%，该指标尚未完成。为加快推进保障性租赁住房建设，用于加快解决从事基本公共服务人员、新市民及新青年住房困难问题，推动实现住有所居，2022年度，经开区暂未明确纳入公租房范围的项目，保租房模式处于探索阶段，有待进一步完善。</w:t>
            </w:r>
          </w:p>
          <w:p>
            <w:pPr>
              <w:widowControl/>
              <w:rPr>
                <w:rFonts w:hint="eastAsia" w:ascii="仿宋" w:hAnsi="仿宋" w:eastAsia="仿宋" w:cs="宋体"/>
                <w:kern w:val="0"/>
                <w:sz w:val="20"/>
                <w:szCs w:val="20"/>
              </w:rPr>
            </w:pPr>
          </w:p>
          <w:p>
            <w:pPr>
              <w:widowControl/>
              <w:rPr>
                <w:rFonts w:hint="eastAsia" w:ascii="仿宋" w:hAnsi="仿宋" w:eastAsia="仿宋" w:cs="宋体"/>
                <w:kern w:val="0"/>
                <w:sz w:val="20"/>
                <w:szCs w:val="20"/>
              </w:rPr>
            </w:pPr>
          </w:p>
          <w:p/>
          <w:p>
            <w:pPr>
              <w:pStyle w:val="2"/>
              <w:ind w:left="0" w:leftChars="0" w:firstLine="400" w:firstLineChars="200"/>
              <w:rPr>
                <w:rFonts w:hint="default"/>
                <w:lang w:val="en-US"/>
              </w:rPr>
            </w:pPr>
            <w:r>
              <w:rPr>
                <w:rFonts w:hint="eastAsia" w:ascii="仿宋" w:hAnsi="仿宋" w:eastAsia="仿宋" w:cs="宋体"/>
                <w:color w:val="auto"/>
                <w:kern w:val="0"/>
                <w:sz w:val="20"/>
                <w:szCs w:val="20"/>
                <w:lang w:val="en-US" w:eastAsia="zh-CN" w:bidi="ar-SA"/>
              </w:rPr>
              <w:t>保障性租赁住房需要多方共同联动，由政府给予土地、财税、金融等政策支持，发挥市场机制作用，引导多主体投资，多渠道供给，经开区需在摸清保障性租赁住房需求与存量土地、房屋资源情况的基础上，结合经开区现有租赁住房供求和品质状况，从实际出发因城实策。</w:t>
            </w:r>
          </w:p>
        </w:tc>
      </w:tr>
      <w:tr>
        <w:tblPrEx>
          <w:tblCellMar>
            <w:top w:w="0" w:type="dxa"/>
            <w:left w:w="108" w:type="dxa"/>
            <w:bottom w:w="0" w:type="dxa"/>
            <w:right w:w="108" w:type="dxa"/>
          </w:tblCellMar>
        </w:tblPrEx>
        <w:trPr>
          <w:trHeight w:val="1662" w:hRule="atLeast"/>
        </w:trPr>
        <w:tc>
          <w:tcPr>
            <w:tcW w:w="340"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改进措施及结果应用方案</w:t>
            </w:r>
          </w:p>
        </w:tc>
        <w:tc>
          <w:tcPr>
            <w:tcW w:w="4659" w:type="pct"/>
            <w:gridSpan w:val="8"/>
            <w:tcBorders>
              <w:top w:val="single" w:color="auto" w:sz="4" w:space="0"/>
              <w:left w:val="nil"/>
              <w:bottom w:val="single" w:color="auto" w:sz="4" w:space="0"/>
              <w:right w:val="single" w:color="auto" w:sz="4" w:space="0"/>
            </w:tcBorders>
            <w:shd w:val="clear" w:color="auto" w:fill="auto"/>
            <w:vAlign w:val="center"/>
          </w:tcPr>
          <w:p>
            <w:pPr>
              <w:widowControl/>
              <w:jc w:val="left"/>
              <w:rPr>
                <w:rFonts w:ascii="仿宋" w:hAnsi="仿宋" w:eastAsia="仿宋" w:cs="宋体"/>
                <w:kern w:val="0"/>
                <w:sz w:val="20"/>
                <w:szCs w:val="20"/>
              </w:rPr>
            </w:pPr>
          </w:p>
          <w:p>
            <w:pPr>
              <w:widowControl/>
              <w:jc w:val="left"/>
              <w:rPr>
                <w:rFonts w:hint="eastAsia" w:ascii="仿宋" w:hAnsi="仿宋" w:eastAsia="仿宋" w:cs="宋体"/>
                <w:kern w:val="0"/>
                <w:sz w:val="20"/>
                <w:szCs w:val="20"/>
                <w:lang w:val="en-US" w:eastAsia="zh-CN"/>
              </w:rPr>
            </w:pPr>
            <w:r>
              <w:rPr>
                <w:rFonts w:hint="eastAsia" w:ascii="仿宋" w:hAnsi="仿宋" w:eastAsia="仿宋" w:cs="宋体"/>
                <w:kern w:val="0"/>
                <w:sz w:val="20"/>
                <w:szCs w:val="20"/>
                <w:lang w:val="en-US" w:eastAsia="zh-CN"/>
              </w:rPr>
              <w:t>由主管部门牵头，可向上海等地率先实施保租房政策的城市学习相关工作经验，借鉴项目的申报审批程序、项目认定标准和方式，完善支持政策。</w:t>
            </w:r>
          </w:p>
          <w:p>
            <w:pPr>
              <w:pStyle w:val="2"/>
              <w:rPr>
                <w:rFonts w:hint="eastAsia"/>
                <w:lang w:eastAsia="zh-CN"/>
              </w:rPr>
            </w:pPr>
          </w:p>
        </w:tc>
      </w:tr>
    </w:tbl>
    <w:p>
      <w:pPr>
        <w:pStyle w:val="7"/>
        <w:sectPr>
          <w:pgSz w:w="11906" w:h="16838"/>
          <w:pgMar w:top="1440" w:right="1800" w:bottom="1440" w:left="1800" w:header="851" w:footer="992" w:gutter="0"/>
          <w:cols w:space="425" w:num="1"/>
          <w:docGrid w:type="lines" w:linePitch="312" w:charSpace="0"/>
        </w:sectPr>
      </w:pPr>
    </w:p>
    <w:p>
      <w:pPr>
        <w:pageBreakBefore w:val="0"/>
        <w:widowControl/>
        <w:kinsoku/>
        <w:wordWrap/>
        <w:overflowPunct/>
        <w:topLinePunct w:val="0"/>
        <w:autoSpaceDE/>
        <w:autoSpaceDN/>
        <w:bidi w:val="0"/>
        <w:spacing w:line="360" w:lineRule="auto"/>
        <w:ind w:firstLine="640" w:firstLineChars="200"/>
        <w:textAlignment w:val="auto"/>
        <w:outlineLvl w:val="0"/>
        <w:rPr>
          <w:rFonts w:eastAsia="黑体"/>
          <w:kern w:val="0"/>
          <w:sz w:val="32"/>
          <w:szCs w:val="32"/>
        </w:rPr>
      </w:pPr>
      <w:r>
        <w:rPr>
          <w:rFonts w:eastAsia="黑体"/>
          <w:kern w:val="0"/>
          <w:sz w:val="32"/>
          <w:szCs w:val="32"/>
        </w:rPr>
        <w:t>二、佐证材料</w:t>
      </w:r>
    </w:p>
    <w:p>
      <w:pPr>
        <w:pageBreakBefore w:val="0"/>
        <w:widowControl/>
        <w:kinsoku/>
        <w:wordWrap/>
        <w:overflowPunct/>
        <w:topLinePunct w:val="0"/>
        <w:autoSpaceDE/>
        <w:autoSpaceDN/>
        <w:bidi w:val="0"/>
        <w:spacing w:line="360" w:lineRule="auto"/>
        <w:ind w:firstLine="643" w:firstLineChars="200"/>
        <w:jc w:val="left"/>
        <w:textAlignment w:val="auto"/>
        <w:outlineLvl w:val="1"/>
        <w:rPr>
          <w:rFonts w:eastAsia="楷体"/>
          <w:b/>
          <w:bCs/>
          <w:kern w:val="0"/>
          <w:sz w:val="32"/>
          <w:szCs w:val="32"/>
        </w:rPr>
      </w:pPr>
      <w:r>
        <w:rPr>
          <w:rFonts w:eastAsia="楷体"/>
          <w:b/>
          <w:bCs/>
          <w:kern w:val="0"/>
          <w:sz w:val="32"/>
          <w:szCs w:val="32"/>
        </w:rPr>
        <w:t>（一）基本情况</w:t>
      </w:r>
    </w:p>
    <w:p>
      <w:pPr>
        <w:pStyle w:val="4"/>
        <w:pageBreakBefore w:val="0"/>
        <w:kinsoku/>
        <w:wordWrap/>
        <w:overflowPunct/>
        <w:topLinePunct w:val="0"/>
        <w:autoSpaceDE/>
        <w:autoSpaceDN/>
        <w:bidi w:val="0"/>
        <w:spacing w:before="0" w:after="0" w:line="360" w:lineRule="auto"/>
        <w:ind w:firstLine="643" w:firstLineChars="200"/>
        <w:textAlignment w:val="auto"/>
        <w:rPr>
          <w:rFonts w:ascii="仿宋" w:hAnsi="仿宋" w:eastAsia="仿宋" w:cs="仿宋"/>
        </w:rPr>
      </w:pPr>
      <w:r>
        <w:rPr>
          <w:rFonts w:hint="eastAsia" w:ascii="仿宋" w:hAnsi="仿宋" w:eastAsia="仿宋" w:cs="仿宋"/>
        </w:rPr>
        <w:t>1.部门支出情况</w:t>
      </w:r>
    </w:p>
    <w:p>
      <w:pPr>
        <w:keepNext/>
        <w:pageBreakBefore w:val="0"/>
        <w:kinsoku/>
        <w:wordWrap/>
        <w:overflowPunct/>
        <w:topLinePunct w:val="0"/>
        <w:autoSpaceDE/>
        <w:autoSpaceDN/>
        <w:bidi w:val="0"/>
        <w:spacing w:line="360" w:lineRule="auto"/>
        <w:ind w:firstLine="640" w:firstLineChars="200"/>
        <w:textAlignment w:val="auto"/>
        <w:rPr>
          <w:rFonts w:eastAsia="仿宋"/>
          <w:sz w:val="32"/>
          <w:szCs w:val="32"/>
        </w:rPr>
      </w:pPr>
      <w:r>
        <w:rPr>
          <w:rFonts w:hint="eastAsia" w:eastAsia="仿宋"/>
          <w:sz w:val="32"/>
          <w:szCs w:val="32"/>
        </w:rPr>
        <w:t>2022年度</w:t>
      </w:r>
      <w:r>
        <w:rPr>
          <w:rFonts w:hint="eastAsia" w:eastAsia="仿宋"/>
          <w:sz w:val="32"/>
          <w:szCs w:val="32"/>
          <w:lang w:val="en-US" w:eastAsia="zh-CN"/>
        </w:rPr>
        <w:t>区住建局</w:t>
      </w:r>
      <w:r>
        <w:rPr>
          <w:rFonts w:hint="eastAsia" w:eastAsia="仿宋"/>
          <w:sz w:val="32"/>
          <w:szCs w:val="32"/>
        </w:rPr>
        <w:t>部门预算数</w:t>
      </w:r>
      <w:r>
        <w:rPr>
          <w:rFonts w:eastAsia="仿宋"/>
          <w:sz w:val="32"/>
          <w:szCs w:val="32"/>
        </w:rPr>
        <w:t>266</w:t>
      </w:r>
      <w:r>
        <w:rPr>
          <w:rFonts w:hint="eastAsia" w:eastAsia="仿宋"/>
          <w:sz w:val="32"/>
          <w:szCs w:val="32"/>
        </w:rPr>
        <w:t>,</w:t>
      </w:r>
      <w:r>
        <w:rPr>
          <w:rFonts w:eastAsia="仿宋"/>
          <w:sz w:val="32"/>
          <w:szCs w:val="32"/>
        </w:rPr>
        <w:t>959.31</w:t>
      </w:r>
      <w:r>
        <w:rPr>
          <w:rFonts w:hint="eastAsia" w:eastAsia="仿宋"/>
          <w:sz w:val="32"/>
          <w:szCs w:val="32"/>
        </w:rPr>
        <w:t>万元，决算数为</w:t>
      </w:r>
      <w:r>
        <w:rPr>
          <w:rFonts w:eastAsia="仿宋"/>
          <w:sz w:val="32"/>
          <w:szCs w:val="32"/>
        </w:rPr>
        <w:t>265,568.66</w:t>
      </w:r>
      <w:r>
        <w:rPr>
          <w:rFonts w:hint="eastAsia" w:eastAsia="仿宋"/>
          <w:sz w:val="32"/>
          <w:szCs w:val="32"/>
        </w:rPr>
        <w:t>万元，其中：基本支出767.95万元，占本年支出0.28%；项目支出264</w:t>
      </w:r>
      <w:r>
        <w:rPr>
          <w:rFonts w:eastAsia="仿宋"/>
          <w:sz w:val="32"/>
          <w:szCs w:val="32"/>
        </w:rPr>
        <w:t>,</w:t>
      </w:r>
      <w:r>
        <w:rPr>
          <w:rFonts w:hint="eastAsia" w:eastAsia="仿宋"/>
          <w:sz w:val="32"/>
          <w:szCs w:val="32"/>
        </w:rPr>
        <w:t>800.71万元，占本年支出99.72%。预算执行率99.48%。</w:t>
      </w:r>
    </w:p>
    <w:p>
      <w:pPr>
        <w:pStyle w:val="4"/>
        <w:pageBreakBefore w:val="0"/>
        <w:kinsoku/>
        <w:wordWrap/>
        <w:overflowPunct/>
        <w:topLinePunct w:val="0"/>
        <w:autoSpaceDE/>
        <w:autoSpaceDN/>
        <w:bidi w:val="0"/>
        <w:spacing w:before="0" w:after="0" w:line="360" w:lineRule="auto"/>
        <w:ind w:firstLine="643" w:firstLineChars="200"/>
        <w:textAlignment w:val="auto"/>
        <w:rPr>
          <w:rFonts w:ascii="仿宋" w:hAnsi="仿宋" w:eastAsia="仿宋" w:cs="仿宋"/>
        </w:rPr>
      </w:pPr>
      <w:r>
        <w:rPr>
          <w:rFonts w:hint="eastAsia" w:ascii="仿宋" w:hAnsi="仿宋" w:eastAsia="仿宋" w:cs="仿宋"/>
        </w:rPr>
        <w:t>2.区委区政府布置的重点工作</w:t>
      </w:r>
    </w:p>
    <w:p>
      <w:pPr>
        <w:pStyle w:val="7"/>
        <w:pageBreakBefore w:val="0"/>
        <w:kinsoku/>
        <w:wordWrap/>
        <w:overflowPunct/>
        <w:topLinePunct w:val="0"/>
        <w:autoSpaceDE/>
        <w:autoSpaceDN/>
        <w:bidi w:val="0"/>
        <w:spacing w:after="0" w:line="360" w:lineRule="auto"/>
        <w:ind w:firstLine="640" w:firstLineChars="200"/>
        <w:textAlignment w:val="auto"/>
        <w:rPr>
          <w:rFonts w:eastAsia="仿宋"/>
          <w:sz w:val="32"/>
          <w:szCs w:val="32"/>
        </w:rPr>
      </w:pPr>
      <w:r>
        <w:rPr>
          <w:rFonts w:eastAsia="仿宋"/>
          <w:sz w:val="32"/>
          <w:szCs w:val="32"/>
        </w:rPr>
        <w:t>202</w:t>
      </w:r>
      <w:r>
        <w:rPr>
          <w:rFonts w:hint="eastAsia" w:eastAsia="仿宋"/>
          <w:sz w:val="32"/>
          <w:szCs w:val="32"/>
        </w:rPr>
        <w:t>2</w:t>
      </w:r>
      <w:r>
        <w:rPr>
          <w:rFonts w:eastAsia="仿宋"/>
          <w:sz w:val="32"/>
          <w:szCs w:val="32"/>
        </w:rPr>
        <w:t>年，按照区委、区政府的决策部署，</w:t>
      </w:r>
      <w:r>
        <w:rPr>
          <w:rFonts w:hint="eastAsia" w:eastAsia="仿宋"/>
          <w:sz w:val="32"/>
          <w:szCs w:val="32"/>
        </w:rPr>
        <w:t>区住房和建设局</w:t>
      </w:r>
      <w:r>
        <w:rPr>
          <w:rFonts w:eastAsia="仿宋"/>
          <w:sz w:val="32"/>
          <w:szCs w:val="32"/>
        </w:rPr>
        <w:t>的重点工作主要如下：</w:t>
      </w:r>
    </w:p>
    <w:p>
      <w:pPr>
        <w:pageBreakBefore w:val="0"/>
        <w:kinsoku/>
        <w:wordWrap/>
        <w:overflowPunct/>
        <w:topLinePunct w:val="0"/>
        <w:autoSpaceDE/>
        <w:autoSpaceDN/>
        <w:bidi w:val="0"/>
        <w:spacing w:line="360" w:lineRule="auto"/>
        <w:ind w:firstLine="640" w:firstLineChars="200"/>
        <w:textAlignment w:val="auto"/>
        <w:rPr>
          <w:rFonts w:ascii="仿宋_GB2312" w:hAnsi="Calibri" w:eastAsia="仿宋_GB2312"/>
          <w:sz w:val="32"/>
          <w:szCs w:val="32"/>
        </w:rPr>
      </w:pPr>
      <w:r>
        <w:rPr>
          <w:rFonts w:hint="eastAsia" w:eastAsia="仿宋"/>
          <w:sz w:val="32"/>
          <w:szCs w:val="32"/>
        </w:rPr>
        <w:t>（1）</w:t>
      </w:r>
      <w:r>
        <w:rPr>
          <w:rFonts w:hint="eastAsia" w:ascii="楷体_GB2312" w:hAnsi="楷体_GB2312" w:eastAsia="楷体_GB2312" w:cs="楷体_GB2312"/>
          <w:sz w:val="32"/>
          <w:szCs w:val="32"/>
        </w:rPr>
        <w:t>注重品质优先，城市建设高质量推进。</w:t>
      </w:r>
      <w:r>
        <w:rPr>
          <w:rFonts w:hint="eastAsia" w:ascii="仿宋_GB2312" w:hAnsi="仿宋" w:eastAsia="仿宋_GB2312" w:cs="仿宋_GB2312"/>
          <w:color w:val="000000"/>
          <w:sz w:val="32"/>
          <w:szCs w:val="32"/>
        </w:rPr>
        <w:t>完成城建投资430亿元；完成基础设施固投</w:t>
      </w:r>
      <w:r>
        <w:rPr>
          <w:rFonts w:ascii="仿宋_GB2312" w:hAnsi="仿宋" w:eastAsia="仿宋_GB2312" w:cs="仿宋_GB2312"/>
          <w:sz w:val="32"/>
          <w:szCs w:val="32"/>
        </w:rPr>
        <w:t>164.54</w:t>
      </w:r>
      <w:r>
        <w:rPr>
          <w:rFonts w:hint="eastAsia" w:ascii="仿宋_GB2312" w:hAnsi="仿宋" w:eastAsia="仿宋_GB2312" w:cs="仿宋_GB2312"/>
          <w:color w:val="000000"/>
          <w:sz w:val="32"/>
          <w:szCs w:val="32"/>
        </w:rPr>
        <w:t>亿元，同比增长</w:t>
      </w:r>
      <w:r>
        <w:rPr>
          <w:rFonts w:ascii="仿宋_GB2312" w:hAnsi="仿宋" w:eastAsia="仿宋_GB2312" w:cs="仿宋_GB2312"/>
          <w:color w:val="000000"/>
          <w:sz w:val="32"/>
          <w:szCs w:val="32"/>
        </w:rPr>
        <w:t>2.9%</w:t>
      </w:r>
      <w:r>
        <w:rPr>
          <w:rFonts w:hint="eastAsia" w:ascii="仿宋_GB2312" w:hAnsi="仿宋" w:eastAsia="仿宋_GB2312" w:cs="仿宋_GB2312"/>
          <w:color w:val="000000"/>
          <w:sz w:val="32"/>
          <w:szCs w:val="32"/>
        </w:rPr>
        <w:t>。车谷大道建成投用，16号线二期通车运营，兴城大道快速化改造、马影河大道改扩建项目顺利完工，汉洪高速完成路灯改造首次亮灯，左岸大道跨通顺河大桥顺利合拢，城市路网1</w:t>
      </w:r>
      <w:r>
        <w:rPr>
          <w:rFonts w:hint="eastAsia" w:ascii="仿宋_GB2312" w:eastAsia="仿宋_GB2312" w:cs="仿宋_GB2312"/>
          <w:color w:val="000000" w:themeColor="text1"/>
          <w:sz w:val="32"/>
          <w:szCs w:val="32"/>
          <w:lang w:bidi="mr-IN"/>
          <w14:textFill>
            <w14:solidFill>
              <w14:schemeClr w14:val="tx1"/>
            </w14:solidFill>
          </w14:textFill>
        </w:rPr>
        <w:t>3条道路建设全</w:t>
      </w:r>
      <w:r>
        <w:rPr>
          <w:rFonts w:hint="eastAsia" w:ascii="仿宋_GB2312" w:hAnsi="仿宋" w:eastAsia="仿宋_GB2312" w:cs="仿宋_GB2312"/>
          <w:color w:val="000000"/>
          <w:sz w:val="32"/>
          <w:szCs w:val="32"/>
        </w:rPr>
        <w:t>部竣工，完成世界湿地大会 53.5 公里参观线路提升整治工程</w:t>
      </w:r>
      <w:r>
        <w:rPr>
          <w:rFonts w:ascii="仿宋_GB2312" w:hAnsi="Calibri" w:eastAsia="仿宋_GB2312"/>
          <w:sz w:val="32"/>
          <w:szCs w:val="32"/>
        </w:rPr>
        <w:t>。</w:t>
      </w:r>
      <w:r>
        <w:rPr>
          <w:rFonts w:hint="eastAsia" w:ascii="仿宋_GB2312" w:hAnsi="Calibri" w:eastAsia="仿宋_GB2312"/>
          <w:sz w:val="32"/>
          <w:szCs w:val="32"/>
        </w:rPr>
        <w:t>建设海绵城市</w:t>
      </w:r>
      <w:r>
        <w:rPr>
          <w:rFonts w:ascii="仿宋_GB2312" w:hAnsi="Calibri" w:eastAsia="仿宋_GB2312"/>
          <w:sz w:val="32"/>
          <w:szCs w:val="32"/>
        </w:rPr>
        <w:t>10.7平方公里、管廊建设3.8公里。</w:t>
      </w:r>
    </w:p>
    <w:p>
      <w:pPr>
        <w:pageBreakBefore w:val="0"/>
        <w:kinsoku/>
        <w:wordWrap/>
        <w:overflowPunct/>
        <w:topLinePunct w:val="0"/>
        <w:autoSpaceDE/>
        <w:autoSpaceDN/>
        <w:bidi w:val="0"/>
        <w:spacing w:line="360" w:lineRule="auto"/>
        <w:ind w:firstLine="640" w:firstLineChars="200"/>
        <w:textAlignment w:val="auto"/>
        <w:rPr>
          <w:rFonts w:hint="eastAsia" w:ascii="仿宋_GB2312" w:hAnsi="Calibri" w:eastAsia="仿宋_GB2312"/>
          <w:sz w:val="32"/>
          <w:szCs w:val="32"/>
        </w:rPr>
      </w:pPr>
      <w:r>
        <w:rPr>
          <w:rFonts w:hint="eastAsia" w:eastAsia="仿宋"/>
          <w:sz w:val="32"/>
          <w:szCs w:val="32"/>
        </w:rPr>
        <w:t>（2）</w:t>
      </w:r>
      <w:r>
        <w:rPr>
          <w:rFonts w:hint="eastAsia" w:ascii="楷体_GB2312" w:hAnsi="楷体_GB2312" w:eastAsia="楷体_GB2312" w:cs="楷体_GB2312"/>
          <w:sz w:val="32"/>
          <w:szCs w:val="32"/>
        </w:rPr>
        <w:t>优化产业升级，建筑业产业发展壮大。</w:t>
      </w:r>
      <w:r>
        <w:rPr>
          <w:rFonts w:hint="eastAsia" w:ascii="仿宋_GB2312" w:hAnsi="Calibri" w:eastAsia="仿宋_GB2312"/>
          <w:sz w:val="32"/>
          <w:szCs w:val="32"/>
        </w:rPr>
        <w:t>完成建筑业总产值</w:t>
      </w:r>
      <w:r>
        <w:rPr>
          <w:rFonts w:ascii="仿宋_GB2312" w:hAnsi="Calibri" w:eastAsia="仿宋_GB2312"/>
          <w:sz w:val="32"/>
          <w:szCs w:val="32"/>
        </w:rPr>
        <w:t>1450.21亿元，</w:t>
      </w:r>
      <w:r>
        <w:rPr>
          <w:rFonts w:hint="eastAsia" w:ascii="仿宋_GB2312" w:hAnsi="Calibri" w:eastAsia="仿宋_GB2312"/>
          <w:sz w:val="32"/>
          <w:szCs w:val="32"/>
        </w:rPr>
        <w:t>产值规模创</w:t>
      </w:r>
      <w:r>
        <w:rPr>
          <w:rFonts w:hint="eastAsia" w:ascii="仿宋_GB2312" w:hAnsi="Calibri" w:eastAsia="仿宋_GB2312"/>
          <w:sz w:val="32"/>
          <w:szCs w:val="32"/>
          <w:lang w:val="en-US" w:eastAsia="zh-CN"/>
        </w:rPr>
        <w:t>经开区</w:t>
      </w:r>
      <w:r>
        <w:rPr>
          <w:rFonts w:hint="eastAsia" w:ascii="仿宋_GB2312" w:hAnsi="Calibri" w:eastAsia="仿宋_GB2312"/>
          <w:sz w:val="32"/>
          <w:szCs w:val="32"/>
        </w:rPr>
        <w:t>历史新高，同比增长</w:t>
      </w:r>
      <w:r>
        <w:rPr>
          <w:rFonts w:ascii="仿宋_GB2312" w:hAnsi="Calibri" w:eastAsia="仿宋_GB2312"/>
          <w:sz w:val="32"/>
          <w:szCs w:val="32"/>
        </w:rPr>
        <w:t>15.5%，总量和增速全市排名第四</w:t>
      </w:r>
      <w:r>
        <w:rPr>
          <w:rFonts w:hint="eastAsia" w:ascii="仿宋_GB2312" w:hAnsi="Calibri" w:eastAsia="仿宋_GB2312"/>
          <w:sz w:val="32"/>
          <w:szCs w:val="32"/>
        </w:rPr>
        <w:t>；</w:t>
      </w:r>
    </w:p>
    <w:p>
      <w:pPr>
        <w:pageBreakBefore w:val="0"/>
        <w:kinsoku/>
        <w:wordWrap/>
        <w:overflowPunct/>
        <w:topLinePunct w:val="0"/>
        <w:autoSpaceDE/>
        <w:autoSpaceDN/>
        <w:bidi w:val="0"/>
        <w:spacing w:line="360" w:lineRule="auto"/>
        <w:ind w:firstLine="640" w:firstLineChars="200"/>
        <w:textAlignment w:val="auto"/>
        <w:rPr>
          <w:rFonts w:ascii="仿宋_GB2312" w:eastAsia="仿宋_GB2312" w:cs="仿宋_GB2312"/>
          <w:sz w:val="32"/>
          <w:szCs w:val="32"/>
        </w:rPr>
      </w:pPr>
      <w:r>
        <w:rPr>
          <w:rFonts w:hint="eastAsia" w:ascii="楷体_GB2312" w:hAnsi="楷体_GB2312" w:eastAsia="楷体_GB2312" w:cs="楷体_GB2312"/>
          <w:sz w:val="32"/>
          <w:szCs w:val="32"/>
        </w:rPr>
        <w:t>（3）改善民生，住房保障管理不断创新。</w:t>
      </w:r>
      <w:r>
        <w:rPr>
          <w:rFonts w:hint="eastAsia" w:ascii="仿宋_GB2312" w:hAnsi="仿宋" w:eastAsia="仿宋_GB2312" w:cs="仿宋_GB2312"/>
          <w:color w:val="000000" w:themeColor="text1"/>
          <w:sz w:val="32"/>
          <w:szCs w:val="32"/>
          <w:lang w:bidi="mr-IN"/>
          <w14:textFill>
            <w14:solidFill>
              <w14:schemeClr w14:val="tx1"/>
            </w14:solidFill>
          </w14:textFill>
        </w:rPr>
        <w:t>维护房地产市场平稳健康发展，完成房地产开发投资</w:t>
      </w:r>
      <w:r>
        <w:rPr>
          <w:rFonts w:ascii="仿宋_GB2312" w:hAnsi="仿宋" w:eastAsia="仿宋_GB2312" w:cs="仿宋_GB2312"/>
          <w:color w:val="000000" w:themeColor="text1"/>
          <w:sz w:val="32"/>
          <w:szCs w:val="32"/>
          <w:lang w:bidi="mr-IN"/>
          <w14:textFill>
            <w14:solidFill>
              <w14:schemeClr w14:val="tx1"/>
            </w14:solidFill>
          </w14:textFill>
        </w:rPr>
        <w:t>356.65</w:t>
      </w:r>
      <w:r>
        <w:rPr>
          <w:rFonts w:hint="eastAsia" w:ascii="仿宋_GB2312" w:hAnsi="仿宋" w:eastAsia="仿宋_GB2312" w:cs="仿宋_GB2312"/>
          <w:color w:val="000000" w:themeColor="text1"/>
          <w:sz w:val="32"/>
          <w:szCs w:val="32"/>
          <w:lang w:bidi="mr-IN"/>
          <w14:textFill>
            <w14:solidFill>
              <w14:schemeClr w14:val="tx1"/>
            </w14:solidFill>
          </w14:textFill>
        </w:rPr>
        <w:t>亿元，同比增长</w:t>
      </w:r>
      <w:r>
        <w:rPr>
          <w:rFonts w:ascii="仿宋_GB2312" w:hAnsi="仿宋" w:eastAsia="仿宋_GB2312" w:cs="仿宋_GB2312"/>
          <w:color w:val="000000" w:themeColor="text1"/>
          <w:sz w:val="32"/>
          <w:szCs w:val="32"/>
          <w:lang w:bidi="mr-IN"/>
          <w14:textFill>
            <w14:solidFill>
              <w14:schemeClr w14:val="tx1"/>
            </w14:solidFill>
          </w14:textFill>
        </w:rPr>
        <w:t>12.7%</w:t>
      </w:r>
      <w:r>
        <w:rPr>
          <w:rFonts w:hint="eastAsia" w:ascii="仿宋_GB2312" w:hAnsi="仿宋" w:eastAsia="仿宋_GB2312" w:cs="仿宋_GB2312"/>
          <w:color w:val="000000" w:themeColor="text1"/>
          <w:sz w:val="32"/>
          <w:szCs w:val="32"/>
          <w:lang w:bidi="mr-IN"/>
          <w14:textFill>
            <w14:solidFill>
              <w14:schemeClr w14:val="tx1"/>
            </w14:solidFill>
          </w14:textFill>
        </w:rPr>
        <w:t>（全市平均增速5</w:t>
      </w:r>
      <w:r>
        <w:rPr>
          <w:rFonts w:ascii="仿宋_GB2312" w:hAnsi="仿宋" w:eastAsia="仿宋_GB2312" w:cs="仿宋_GB2312"/>
          <w:color w:val="000000" w:themeColor="text1"/>
          <w:sz w:val="32"/>
          <w:szCs w:val="32"/>
          <w:lang w:bidi="mr-IN"/>
          <w14:textFill>
            <w14:solidFill>
              <w14:schemeClr w14:val="tx1"/>
            </w14:solidFill>
          </w14:textFill>
        </w:rPr>
        <w:t>.5%</w:t>
      </w:r>
      <w:r>
        <w:rPr>
          <w:rFonts w:hint="eastAsia" w:ascii="仿宋_GB2312" w:hAnsi="仿宋" w:eastAsia="仿宋_GB2312" w:cs="仿宋_GB2312"/>
          <w:color w:val="000000" w:themeColor="text1"/>
          <w:sz w:val="32"/>
          <w:szCs w:val="32"/>
          <w:lang w:bidi="mr-IN"/>
          <w14:textFill>
            <w14:solidFill>
              <w14:schemeClr w14:val="tx1"/>
            </w14:solidFill>
          </w14:textFill>
        </w:rPr>
        <w:t>）；销售商品房</w:t>
      </w:r>
      <w:r>
        <w:rPr>
          <w:rFonts w:ascii="仿宋_GB2312" w:hAnsi="仿宋" w:eastAsia="仿宋_GB2312" w:cs="仿宋_GB2312"/>
          <w:color w:val="000000" w:themeColor="text1"/>
          <w:sz w:val="32"/>
          <w:szCs w:val="32"/>
          <w:lang w:bidi="mr-IN"/>
          <w14:textFill>
            <w14:solidFill>
              <w14:schemeClr w14:val="tx1"/>
            </w14:solidFill>
          </w14:textFill>
        </w:rPr>
        <w:t>173.15</w:t>
      </w:r>
      <w:r>
        <w:rPr>
          <w:rFonts w:hint="eastAsia" w:ascii="仿宋_GB2312" w:hAnsi="仿宋" w:eastAsia="仿宋_GB2312" w:cs="仿宋_GB2312"/>
          <w:color w:val="000000" w:themeColor="text1"/>
          <w:sz w:val="32"/>
          <w:szCs w:val="32"/>
          <w:lang w:bidi="mr-IN"/>
          <w14:textFill>
            <w14:solidFill>
              <w14:schemeClr w14:val="tx1"/>
            </w14:solidFill>
          </w14:textFill>
        </w:rPr>
        <w:t>万</w:t>
      </w:r>
      <w:r>
        <w:rPr>
          <w:rFonts w:hint="eastAsia" w:ascii="仿宋_GB2312" w:eastAsia="仿宋_GB2312" w:cs="仿宋_GB2312"/>
          <w:sz w:val="32"/>
          <w:szCs w:val="32"/>
        </w:rPr>
        <w:t>m</w:t>
      </w:r>
      <w:r>
        <w:rPr>
          <w:rFonts w:hint="eastAsia" w:ascii="仿宋_GB2312" w:eastAsia="仿宋_GB2312" w:cs="仿宋_GB2312"/>
          <w:sz w:val="32"/>
          <w:szCs w:val="32"/>
          <w:vertAlign w:val="superscript"/>
        </w:rPr>
        <w:t>2</w:t>
      </w:r>
      <w:r>
        <w:rPr>
          <w:rFonts w:hint="eastAsia" w:ascii="仿宋_GB2312" w:eastAsia="仿宋_GB2312" w:cs="仿宋_GB2312"/>
          <w:sz w:val="32"/>
          <w:szCs w:val="32"/>
        </w:rPr>
        <w:t>，同比增长</w:t>
      </w:r>
      <w:r>
        <w:rPr>
          <w:rFonts w:ascii="仿宋_GB2312" w:eastAsia="仿宋_GB2312" w:cs="仿宋_GB2312"/>
          <w:sz w:val="32"/>
          <w:szCs w:val="32"/>
        </w:rPr>
        <w:t>0.1%</w:t>
      </w:r>
      <w:r>
        <w:rPr>
          <w:rFonts w:hint="eastAsia" w:ascii="仿宋_GB2312" w:eastAsia="仿宋_GB2312" w:cs="仿宋_GB2312"/>
          <w:sz w:val="32"/>
          <w:szCs w:val="32"/>
        </w:rPr>
        <w:t>（全市平均增速</w:t>
      </w:r>
      <w:r>
        <w:rPr>
          <w:rFonts w:ascii="仿宋_GB2312" w:eastAsia="仿宋_GB2312" w:cs="仿宋_GB2312"/>
          <w:sz w:val="32"/>
          <w:szCs w:val="32"/>
        </w:rPr>
        <w:t>-19.8%）</w:t>
      </w:r>
      <w:r>
        <w:rPr>
          <w:rFonts w:hint="eastAsia" w:ascii="仿宋_GB2312" w:eastAsia="仿宋_GB2312" w:cs="仿宋_GB2312"/>
          <w:sz w:val="32"/>
          <w:szCs w:val="32"/>
        </w:rPr>
        <w:t>，增速全市排名第四，开发区第一；从业人员工资总额同比增长</w:t>
      </w:r>
      <w:r>
        <w:rPr>
          <w:rFonts w:ascii="仿宋_GB2312" w:eastAsia="仿宋_GB2312" w:cs="仿宋_GB2312"/>
          <w:sz w:val="32"/>
          <w:szCs w:val="32"/>
        </w:rPr>
        <w:t>19%</w:t>
      </w:r>
      <w:r>
        <w:rPr>
          <w:rFonts w:hint="eastAsia" w:ascii="仿宋_GB2312" w:eastAsia="仿宋_GB2312" w:cs="仿宋_GB2312"/>
          <w:sz w:val="32"/>
          <w:szCs w:val="32"/>
        </w:rPr>
        <w:t>，增速全市排名三、开发区第一。</w:t>
      </w:r>
      <w:bookmarkStart w:id="1" w:name="_Toc27536"/>
    </w:p>
    <w:bookmarkEnd w:id="1"/>
    <w:p>
      <w:pPr>
        <w:pStyle w:val="7"/>
        <w:pageBreakBefore w:val="0"/>
        <w:kinsoku/>
        <w:wordWrap/>
        <w:overflowPunct/>
        <w:topLinePunct w:val="0"/>
        <w:autoSpaceDE/>
        <w:autoSpaceDN/>
        <w:bidi w:val="0"/>
        <w:spacing w:after="0" w:line="360" w:lineRule="auto"/>
        <w:ind w:firstLine="640" w:firstLineChars="200"/>
        <w:textAlignment w:val="auto"/>
        <w:rPr>
          <w:rFonts w:hint="eastAsia" w:ascii="仿宋_GB2312" w:hAnsi="仿宋" w:eastAsia="仿宋_GB2312" w:cs="仿宋_GB2312"/>
          <w:color w:val="000000" w:themeColor="text1"/>
          <w:kern w:val="2"/>
          <w:sz w:val="32"/>
          <w:szCs w:val="32"/>
          <w:lang w:val="en-US" w:eastAsia="zh-CN" w:bidi="mr-IN"/>
          <w14:textFill>
            <w14:solidFill>
              <w14:schemeClr w14:val="tx1"/>
            </w14:solidFill>
          </w14:textFill>
        </w:rPr>
      </w:pPr>
      <w:r>
        <w:rPr>
          <w:rFonts w:hint="eastAsia" w:eastAsia="仿宋"/>
          <w:sz w:val="32"/>
          <w:szCs w:val="32"/>
        </w:rPr>
        <w:t>（4）</w:t>
      </w:r>
      <w:r>
        <w:rPr>
          <w:rFonts w:hint="eastAsia" w:ascii="楷体_GB2312" w:hAnsi="楷体_GB2312" w:eastAsia="楷体_GB2312" w:cs="楷体_GB2312"/>
          <w:kern w:val="2"/>
          <w:sz w:val="32"/>
          <w:szCs w:val="32"/>
          <w:lang w:val="en-US" w:eastAsia="zh-CN" w:bidi="ar-SA"/>
        </w:rPr>
        <w:t>提升生态文明，园林建设和林业工作全面加强。</w:t>
      </w:r>
      <w:r>
        <w:rPr>
          <w:rFonts w:hint="eastAsia" w:eastAsia="仿宋"/>
          <w:sz w:val="32"/>
          <w:szCs w:val="32"/>
        </w:rPr>
        <w:t>稳步推进“绿满车谷”建设，“湿</w:t>
      </w:r>
      <w:r>
        <w:rPr>
          <w:rFonts w:hint="eastAsia" w:ascii="仿宋_GB2312" w:hAnsi="仿宋" w:eastAsia="仿宋_GB2312" w:cs="仿宋_GB2312"/>
          <w:color w:val="000000" w:themeColor="text1"/>
          <w:kern w:val="2"/>
          <w:sz w:val="32"/>
          <w:szCs w:val="32"/>
          <w:lang w:val="en-US" w:eastAsia="zh-CN" w:bidi="mr-IN"/>
          <w14:textFill>
            <w14:solidFill>
              <w14:schemeClr w14:val="tx1"/>
            </w14:solidFill>
          </w14:textFill>
        </w:rPr>
        <w:t>地花城”新改建绿地200公顷，新建公园11个，建设绿道15公里，绿化养护公共道路269条，“湿地花城”建设预计全市排名第五。持续开展“花开四季”行动，打造花田花海35公顷，获评“武汉市花园家庭”4个，获评“武汉市园林式小区”8个。开展金秋菊展，举办“郁金香游园会”、“荷花艺术节”、“汤湖雅集”等文化活动丰富市民文化生活。</w:t>
      </w:r>
    </w:p>
    <w:p>
      <w:pPr>
        <w:pStyle w:val="7"/>
        <w:pageBreakBefore w:val="0"/>
        <w:kinsoku/>
        <w:wordWrap/>
        <w:overflowPunct/>
        <w:topLinePunct w:val="0"/>
        <w:autoSpaceDE/>
        <w:autoSpaceDN/>
        <w:bidi w:val="0"/>
        <w:spacing w:after="0" w:line="360" w:lineRule="auto"/>
        <w:ind w:firstLine="640" w:firstLineChars="200"/>
        <w:textAlignment w:val="auto"/>
        <w:rPr>
          <w:rFonts w:eastAsia="仿宋"/>
          <w:sz w:val="32"/>
          <w:szCs w:val="32"/>
        </w:rPr>
      </w:pPr>
      <w:r>
        <w:rPr>
          <w:rFonts w:hint="eastAsia" w:eastAsia="仿宋"/>
          <w:sz w:val="32"/>
          <w:szCs w:val="32"/>
        </w:rPr>
        <w:t>（5）</w:t>
      </w:r>
      <w:r>
        <w:rPr>
          <w:rFonts w:hint="eastAsia" w:ascii="楷体_GB2312" w:hAnsi="楷体_GB2312" w:eastAsia="楷体_GB2312" w:cs="楷体_GB2312"/>
          <w:kern w:val="2"/>
          <w:sz w:val="32"/>
          <w:szCs w:val="32"/>
          <w:lang w:val="en-US" w:eastAsia="zh-CN" w:bidi="ar-SA"/>
        </w:rPr>
        <w:t>坚持服务为念，市场营商环境持续优化。</w:t>
      </w:r>
      <w:r>
        <w:rPr>
          <w:rFonts w:hint="eastAsia" w:ascii="Times New Roman" w:hAnsi="Times New Roman" w:eastAsia="仿宋" w:cs="Times New Roman"/>
          <w:sz w:val="32"/>
          <w:szCs w:val="32"/>
        </w:rPr>
        <w:t>健全政策体系，改革工程建设项目审批制度，研究出台《施工图审查“豁免”工作实施方案》、《产业项目建设工程单体竣工提前验收管</w:t>
      </w:r>
      <w:r>
        <w:rPr>
          <w:rFonts w:hint="eastAsia" w:ascii="仿宋_GB2312" w:eastAsia="仿宋_GB2312" w:hAnsiTheme="minorEastAsia" w:cstheme="minorEastAsia"/>
          <w:sz w:val="32"/>
          <w:szCs w:val="32"/>
        </w:rPr>
        <w:t>理办法》、《低风险工业建筑工程监督管理实施方案》、《经开区住建行业企业纾困实施方案》等系列改革创新举措。</w:t>
      </w:r>
    </w:p>
    <w:p>
      <w:pPr>
        <w:pStyle w:val="4"/>
        <w:pageBreakBefore w:val="0"/>
        <w:kinsoku/>
        <w:wordWrap/>
        <w:overflowPunct/>
        <w:topLinePunct w:val="0"/>
        <w:autoSpaceDE/>
        <w:autoSpaceDN/>
        <w:bidi w:val="0"/>
        <w:spacing w:before="0" w:after="0" w:line="360" w:lineRule="auto"/>
        <w:ind w:firstLine="643" w:firstLineChars="200"/>
        <w:textAlignment w:val="auto"/>
        <w:rPr>
          <w:rFonts w:ascii="仿宋" w:hAnsi="仿宋" w:eastAsia="仿宋" w:cs="仿宋"/>
        </w:rPr>
      </w:pPr>
      <w:bookmarkStart w:id="2" w:name="_Toc2210"/>
      <w:r>
        <w:rPr>
          <w:rFonts w:hint="eastAsia" w:ascii="仿宋" w:hAnsi="仿宋" w:eastAsia="仿宋" w:cs="仿宋"/>
        </w:rPr>
        <w:t>3.年度部门整体绩效目标</w:t>
      </w:r>
    </w:p>
    <w:bookmarkEnd w:id="2"/>
    <w:p>
      <w:pPr>
        <w:pStyle w:val="7"/>
        <w:pageBreakBefore w:val="0"/>
        <w:kinsoku/>
        <w:wordWrap/>
        <w:overflowPunct/>
        <w:topLinePunct w:val="0"/>
        <w:autoSpaceDE/>
        <w:autoSpaceDN/>
        <w:bidi w:val="0"/>
        <w:spacing w:after="0" w:line="360" w:lineRule="auto"/>
        <w:ind w:firstLine="640" w:firstLineChars="200"/>
        <w:textAlignment w:val="auto"/>
        <w:rPr>
          <w:rFonts w:eastAsia="仿宋"/>
          <w:sz w:val="32"/>
          <w:szCs w:val="32"/>
        </w:rPr>
      </w:pPr>
      <w:r>
        <w:rPr>
          <w:rFonts w:eastAsia="仿宋"/>
          <w:sz w:val="32"/>
          <w:szCs w:val="32"/>
        </w:rPr>
        <w:t>（1）年度目标1：</w:t>
      </w:r>
      <w:r>
        <w:rPr>
          <w:rFonts w:hint="eastAsia" w:eastAsia="仿宋"/>
          <w:sz w:val="32"/>
          <w:szCs w:val="32"/>
        </w:rPr>
        <w:t>进一步推进城建攻坚计划，全面推进城市基础设施配套建设；加强重点项目协调，全面推进路网项目建设。</w:t>
      </w:r>
      <w:r>
        <w:rPr>
          <w:rFonts w:eastAsia="仿宋"/>
          <w:sz w:val="32"/>
          <w:szCs w:val="32"/>
        </w:rPr>
        <w:cr/>
      </w:r>
      <w:r>
        <w:rPr>
          <w:rFonts w:eastAsia="仿宋"/>
          <w:sz w:val="32"/>
          <w:szCs w:val="32"/>
        </w:rPr>
        <w:t xml:space="preserve">    （2）年度目标2：</w:t>
      </w:r>
      <w:r>
        <w:rPr>
          <w:rFonts w:hint="eastAsia" w:eastAsia="仿宋"/>
          <w:sz w:val="32"/>
          <w:szCs w:val="32"/>
        </w:rPr>
        <w:t>进一步强化建设市场监管与服务，建设规范有序的建筑市场；推进智能家居之都建设，推进装配式建筑发展，推进海绵城市建设，强化建筑工程质量安全监管。</w:t>
      </w:r>
    </w:p>
    <w:p>
      <w:pPr>
        <w:pStyle w:val="7"/>
        <w:pageBreakBefore w:val="0"/>
        <w:kinsoku/>
        <w:wordWrap/>
        <w:overflowPunct/>
        <w:topLinePunct w:val="0"/>
        <w:autoSpaceDE/>
        <w:autoSpaceDN/>
        <w:bidi w:val="0"/>
        <w:spacing w:after="0" w:line="360" w:lineRule="auto"/>
        <w:ind w:firstLine="640" w:firstLineChars="200"/>
        <w:textAlignment w:val="auto"/>
        <w:rPr>
          <w:rFonts w:hint="eastAsia" w:eastAsia="仿宋"/>
          <w:sz w:val="32"/>
          <w:szCs w:val="32"/>
        </w:rPr>
      </w:pPr>
      <w:r>
        <w:rPr>
          <w:rFonts w:eastAsia="仿宋"/>
          <w:sz w:val="32"/>
          <w:szCs w:val="32"/>
        </w:rPr>
        <w:t>（3）年度目标3：</w:t>
      </w:r>
      <w:r>
        <w:rPr>
          <w:rFonts w:hint="eastAsia" w:eastAsia="仿宋"/>
          <w:sz w:val="32"/>
          <w:szCs w:val="32"/>
        </w:rPr>
        <w:t>进一步推进住房保障建设，不断完善房产管理规范化；切实加强房地产市场宏观调控工作，切实加强住宅小区物业管理工作，切实加强住房保障工作。</w:t>
      </w:r>
    </w:p>
    <w:p>
      <w:pPr>
        <w:pStyle w:val="7"/>
        <w:pageBreakBefore w:val="0"/>
        <w:kinsoku/>
        <w:wordWrap/>
        <w:overflowPunct/>
        <w:topLinePunct w:val="0"/>
        <w:autoSpaceDE/>
        <w:autoSpaceDN/>
        <w:bidi w:val="0"/>
        <w:spacing w:after="0" w:line="360" w:lineRule="auto"/>
        <w:ind w:firstLine="640" w:firstLineChars="200"/>
        <w:textAlignment w:val="auto"/>
        <w:rPr>
          <w:rFonts w:hint="eastAsia" w:eastAsia="仿宋"/>
          <w:sz w:val="32"/>
          <w:szCs w:val="32"/>
          <w:lang w:val="en-US" w:eastAsia="zh-CN"/>
        </w:rPr>
      </w:pPr>
      <w:r>
        <w:rPr>
          <w:rFonts w:hint="eastAsia" w:eastAsia="仿宋"/>
          <w:sz w:val="32"/>
          <w:szCs w:val="32"/>
          <w:lang w:eastAsia="zh-CN"/>
        </w:rPr>
        <w:t>（</w:t>
      </w:r>
      <w:r>
        <w:rPr>
          <w:rFonts w:hint="eastAsia" w:eastAsia="仿宋"/>
          <w:sz w:val="32"/>
          <w:szCs w:val="32"/>
          <w:lang w:val="en-US" w:eastAsia="zh-CN"/>
        </w:rPr>
        <w:t>4）年度目标4：进一步统筹推进各项职能工作，促进全局工作同步协调发展；完善施工图审查制度，加强工程备案档案管理。</w:t>
      </w:r>
    </w:p>
    <w:p>
      <w:pPr>
        <w:pStyle w:val="7"/>
        <w:pageBreakBefore w:val="0"/>
        <w:kinsoku/>
        <w:wordWrap/>
        <w:overflowPunct/>
        <w:topLinePunct w:val="0"/>
        <w:autoSpaceDE/>
        <w:autoSpaceDN/>
        <w:bidi w:val="0"/>
        <w:spacing w:after="0" w:line="360" w:lineRule="auto"/>
        <w:ind w:firstLine="640" w:firstLineChars="200"/>
        <w:textAlignment w:val="auto"/>
        <w:rPr>
          <w:rFonts w:hint="eastAsia" w:eastAsia="仿宋"/>
          <w:sz w:val="32"/>
          <w:szCs w:val="32"/>
        </w:rPr>
      </w:pPr>
      <w:r>
        <w:rPr>
          <w:rFonts w:hint="eastAsia" w:eastAsia="仿宋"/>
          <w:sz w:val="32"/>
          <w:szCs w:val="32"/>
          <w:lang w:val="en-US" w:eastAsia="zh-CN"/>
        </w:rPr>
        <w:t>（5）年度目标5：</w:t>
      </w:r>
      <w:r>
        <w:rPr>
          <w:rStyle w:val="34"/>
          <w:rFonts w:hint="eastAsia" w:ascii="仿宋" w:hAnsi="仿宋" w:eastAsia="仿宋" w:cs="仿宋"/>
          <w:b w:val="0"/>
          <w:bCs w:val="0"/>
          <w:sz w:val="32"/>
          <w:szCs w:val="32"/>
        </w:rPr>
        <w:t>进一步加强学习教育，迅速掀起学习宣传贯彻党的精神热潮；强化目标管理，增强创优意识，着力加强政治建设，驰而不息常态化抓正风肃纪，深入推进依法行政</w:t>
      </w:r>
      <w:r>
        <w:rPr>
          <w:rStyle w:val="34"/>
          <w:rFonts w:hint="eastAsia" w:ascii="仿宋" w:hAnsi="仿宋" w:eastAsia="仿宋" w:cs="仿宋"/>
          <w:b w:val="0"/>
          <w:bCs w:val="0"/>
          <w:sz w:val="32"/>
          <w:szCs w:val="32"/>
          <w:lang w:eastAsia="zh-CN"/>
        </w:rPr>
        <w:t>。</w:t>
      </w:r>
    </w:p>
    <w:p>
      <w:pPr>
        <w:pageBreakBefore w:val="0"/>
        <w:widowControl/>
        <w:kinsoku/>
        <w:wordWrap/>
        <w:overflowPunct/>
        <w:topLinePunct w:val="0"/>
        <w:autoSpaceDE/>
        <w:autoSpaceDN/>
        <w:bidi w:val="0"/>
        <w:spacing w:line="360" w:lineRule="auto"/>
        <w:ind w:firstLine="643" w:firstLineChars="200"/>
        <w:jc w:val="left"/>
        <w:textAlignment w:val="auto"/>
        <w:outlineLvl w:val="1"/>
        <w:rPr>
          <w:rFonts w:eastAsia="楷体"/>
          <w:b/>
          <w:bCs/>
          <w:kern w:val="0"/>
          <w:sz w:val="32"/>
          <w:szCs w:val="32"/>
        </w:rPr>
      </w:pPr>
      <w:r>
        <w:rPr>
          <w:rFonts w:eastAsia="楷体"/>
          <w:b/>
          <w:bCs/>
          <w:kern w:val="0"/>
          <w:sz w:val="32"/>
          <w:szCs w:val="32"/>
        </w:rPr>
        <w:t>（二）部门自评工作开展情况</w:t>
      </w:r>
    </w:p>
    <w:p>
      <w:pPr>
        <w:pageBreakBefore w:val="0"/>
        <w:widowControl/>
        <w:kinsoku/>
        <w:wordWrap/>
        <w:overflowPunct/>
        <w:topLinePunct w:val="0"/>
        <w:autoSpaceDE/>
        <w:autoSpaceDN/>
        <w:bidi w:val="0"/>
        <w:spacing w:line="360" w:lineRule="auto"/>
        <w:ind w:firstLine="640" w:firstLineChars="200"/>
        <w:textAlignment w:val="auto"/>
        <w:rPr>
          <w:rFonts w:eastAsia="仿宋"/>
          <w:color w:val="000000" w:themeColor="text1"/>
          <w:sz w:val="32"/>
          <w:szCs w:val="32"/>
          <w14:textFill>
            <w14:solidFill>
              <w14:schemeClr w14:val="tx1"/>
            </w14:solidFill>
          </w14:textFill>
        </w:rPr>
      </w:pPr>
      <w:r>
        <w:rPr>
          <w:rFonts w:hint="eastAsia" w:eastAsia="仿宋"/>
          <w:color w:val="000000" w:themeColor="text1"/>
          <w:sz w:val="32"/>
          <w:szCs w:val="32"/>
          <w14:textFill>
            <w14:solidFill>
              <w14:schemeClr w14:val="tx1"/>
            </w14:solidFill>
          </w14:textFill>
        </w:rPr>
        <w:t>本次自评时间从2023年</w:t>
      </w:r>
      <w:r>
        <w:rPr>
          <w:rFonts w:eastAsia="仿宋"/>
          <w:color w:val="000000" w:themeColor="text1"/>
          <w:sz w:val="32"/>
          <w:szCs w:val="32"/>
          <w14:textFill>
            <w14:solidFill>
              <w14:schemeClr w14:val="tx1"/>
            </w14:solidFill>
          </w14:textFill>
        </w:rPr>
        <w:t>4</w:t>
      </w:r>
      <w:r>
        <w:rPr>
          <w:rFonts w:hint="eastAsia" w:eastAsia="仿宋"/>
          <w:color w:val="000000" w:themeColor="text1"/>
          <w:sz w:val="32"/>
          <w:szCs w:val="32"/>
          <w14:textFill>
            <w14:solidFill>
              <w14:schemeClr w14:val="tx1"/>
            </w14:solidFill>
          </w14:textFill>
        </w:rPr>
        <w:t>月3日至2023年4月21日，历时</w:t>
      </w:r>
      <w:r>
        <w:rPr>
          <w:rFonts w:eastAsia="仿宋"/>
          <w:color w:val="000000" w:themeColor="text1"/>
          <w:sz w:val="32"/>
          <w:szCs w:val="32"/>
          <w14:textFill>
            <w14:solidFill>
              <w14:schemeClr w14:val="tx1"/>
            </w14:solidFill>
          </w14:textFill>
        </w:rPr>
        <w:t>1</w:t>
      </w:r>
      <w:r>
        <w:rPr>
          <w:rFonts w:hint="eastAsia" w:eastAsia="仿宋"/>
          <w:color w:val="000000" w:themeColor="text1"/>
          <w:sz w:val="32"/>
          <w:szCs w:val="32"/>
          <w14:textFill>
            <w14:solidFill>
              <w14:schemeClr w14:val="tx1"/>
            </w14:solidFill>
          </w14:textFill>
        </w:rPr>
        <w:t>5天。自评工作程序如下：</w:t>
      </w:r>
    </w:p>
    <w:p>
      <w:pPr>
        <w:pageBreakBefore w:val="0"/>
        <w:widowControl/>
        <w:kinsoku/>
        <w:wordWrap/>
        <w:overflowPunct/>
        <w:topLinePunct w:val="0"/>
        <w:autoSpaceDE/>
        <w:autoSpaceDN/>
        <w:bidi w:val="0"/>
        <w:spacing w:line="360" w:lineRule="auto"/>
        <w:ind w:firstLine="643" w:firstLineChars="200"/>
        <w:textAlignment w:val="auto"/>
        <w:rPr>
          <w:rFonts w:eastAsia="仿宋"/>
          <w:b/>
          <w:bCs/>
          <w:sz w:val="32"/>
          <w:szCs w:val="32"/>
        </w:rPr>
      </w:pPr>
      <w:r>
        <w:rPr>
          <w:rFonts w:hint="eastAsia" w:eastAsia="仿宋"/>
          <w:b/>
          <w:bCs/>
          <w:sz w:val="32"/>
          <w:szCs w:val="32"/>
        </w:rPr>
        <w:t>1.</w:t>
      </w:r>
      <w:r>
        <w:rPr>
          <w:rFonts w:eastAsia="仿宋"/>
          <w:b/>
          <w:bCs/>
          <w:sz w:val="32"/>
          <w:szCs w:val="32"/>
        </w:rPr>
        <w:t>制定工作方案</w:t>
      </w:r>
    </w:p>
    <w:p>
      <w:pPr>
        <w:pageBreakBefore w:val="0"/>
        <w:widowControl/>
        <w:kinsoku/>
        <w:wordWrap/>
        <w:overflowPunct/>
        <w:topLinePunct w:val="0"/>
        <w:autoSpaceDE/>
        <w:autoSpaceDN/>
        <w:bidi w:val="0"/>
        <w:spacing w:line="360" w:lineRule="auto"/>
        <w:ind w:firstLine="640" w:firstLineChars="200"/>
        <w:textAlignment w:val="auto"/>
        <w:rPr>
          <w:rFonts w:eastAsia="仿宋"/>
          <w:color w:val="000000" w:themeColor="text1"/>
          <w:sz w:val="32"/>
          <w:szCs w:val="32"/>
          <w14:textFill>
            <w14:solidFill>
              <w14:schemeClr w14:val="tx1"/>
            </w14:solidFill>
          </w14:textFill>
        </w:rPr>
      </w:pPr>
      <w:r>
        <w:rPr>
          <w:rFonts w:hint="eastAsia" w:eastAsia="仿宋"/>
          <w:color w:val="000000" w:themeColor="text1"/>
          <w:sz w:val="32"/>
          <w:szCs w:val="32"/>
          <w14:textFill>
            <w14:solidFill>
              <w14:schemeClr w14:val="tx1"/>
            </w14:solidFill>
          </w14:textFill>
        </w:rPr>
        <w:t>部门自评工作方案由财务部门会同第三方机构共同研究制订。根据部门主要负责同志要求和武汉经济技术开发区（汉南区）财政局发布的</w:t>
      </w:r>
      <w:r>
        <w:rPr>
          <w:rFonts w:hint="eastAsia" w:eastAsia="仿宋"/>
          <w:sz w:val="32"/>
          <w:szCs w:val="32"/>
        </w:rPr>
        <w:t>《关于开展2023年预算绩效评价及项目支出绩效运行监控的通知》（武经开〔2023〕19号）</w:t>
      </w:r>
      <w:r>
        <w:rPr>
          <w:rFonts w:hint="eastAsia" w:eastAsia="仿宋"/>
          <w:color w:val="000000" w:themeColor="text1"/>
          <w:sz w:val="32"/>
          <w:szCs w:val="32"/>
          <w14:textFill>
            <w14:solidFill>
              <w14:schemeClr w14:val="tx1"/>
            </w14:solidFill>
          </w14:textFill>
        </w:rPr>
        <w:t>启动部门自评工作。</w:t>
      </w:r>
    </w:p>
    <w:p>
      <w:pPr>
        <w:pageBreakBefore w:val="0"/>
        <w:widowControl/>
        <w:kinsoku/>
        <w:wordWrap/>
        <w:overflowPunct/>
        <w:topLinePunct w:val="0"/>
        <w:autoSpaceDE/>
        <w:autoSpaceDN/>
        <w:bidi w:val="0"/>
        <w:spacing w:line="360" w:lineRule="auto"/>
        <w:ind w:firstLine="643" w:firstLineChars="200"/>
        <w:textAlignment w:val="auto"/>
        <w:rPr>
          <w:rFonts w:eastAsia="仿宋"/>
          <w:b/>
          <w:bCs/>
          <w:sz w:val="32"/>
          <w:szCs w:val="32"/>
        </w:rPr>
      </w:pPr>
      <w:r>
        <w:rPr>
          <w:rFonts w:hint="eastAsia" w:eastAsia="仿宋"/>
          <w:b/>
          <w:bCs/>
          <w:sz w:val="32"/>
          <w:szCs w:val="32"/>
        </w:rPr>
        <w:t>2.组织实施自评</w:t>
      </w:r>
    </w:p>
    <w:p>
      <w:pPr>
        <w:pageBreakBefore w:val="0"/>
        <w:widowControl/>
        <w:kinsoku/>
        <w:wordWrap/>
        <w:overflowPunct/>
        <w:topLinePunct w:val="0"/>
        <w:autoSpaceDE/>
        <w:autoSpaceDN/>
        <w:bidi w:val="0"/>
        <w:spacing w:line="360" w:lineRule="auto"/>
        <w:ind w:firstLine="640" w:firstLineChars="200"/>
        <w:textAlignment w:val="auto"/>
        <w:rPr>
          <w:rFonts w:eastAsia="仿宋"/>
          <w:sz w:val="32"/>
          <w:szCs w:val="32"/>
        </w:rPr>
      </w:pPr>
      <w:r>
        <w:rPr>
          <w:rFonts w:eastAsia="仿宋"/>
          <w:sz w:val="32"/>
          <w:szCs w:val="32"/>
        </w:rPr>
        <w:t>财务部门会同第三方机构及时成立工作组，通过调研访谈、</w:t>
      </w:r>
      <w:r>
        <w:rPr>
          <w:rFonts w:hint="eastAsia" w:eastAsia="仿宋"/>
          <w:sz w:val="32"/>
          <w:szCs w:val="32"/>
        </w:rPr>
        <w:t>电话访谈</w:t>
      </w:r>
      <w:r>
        <w:rPr>
          <w:rFonts w:eastAsia="仿宋"/>
          <w:sz w:val="32"/>
          <w:szCs w:val="32"/>
        </w:rPr>
        <w:t>等方式收集、核实数据和信息，并对这些数据和信息进行整理分析。</w:t>
      </w:r>
    </w:p>
    <w:p>
      <w:pPr>
        <w:pageBreakBefore w:val="0"/>
        <w:widowControl/>
        <w:kinsoku/>
        <w:wordWrap/>
        <w:overflowPunct/>
        <w:topLinePunct w:val="0"/>
        <w:autoSpaceDE/>
        <w:autoSpaceDN/>
        <w:bidi w:val="0"/>
        <w:spacing w:line="360" w:lineRule="auto"/>
        <w:ind w:firstLine="643" w:firstLineChars="200"/>
        <w:textAlignment w:val="auto"/>
        <w:rPr>
          <w:rFonts w:eastAsia="仿宋"/>
          <w:b/>
          <w:bCs/>
          <w:sz w:val="32"/>
          <w:szCs w:val="32"/>
        </w:rPr>
      </w:pPr>
      <w:r>
        <w:rPr>
          <w:rFonts w:hint="eastAsia" w:eastAsia="仿宋"/>
          <w:b/>
          <w:bCs/>
          <w:sz w:val="32"/>
          <w:szCs w:val="32"/>
        </w:rPr>
        <w:t>3.撰写部门自评结果</w:t>
      </w:r>
    </w:p>
    <w:p>
      <w:pPr>
        <w:pageBreakBefore w:val="0"/>
        <w:widowControl/>
        <w:kinsoku/>
        <w:wordWrap/>
        <w:overflowPunct/>
        <w:topLinePunct w:val="0"/>
        <w:autoSpaceDE/>
        <w:autoSpaceDN/>
        <w:bidi w:val="0"/>
        <w:spacing w:line="360" w:lineRule="auto"/>
        <w:ind w:firstLine="640" w:firstLineChars="200"/>
        <w:textAlignment w:val="auto"/>
        <w:rPr>
          <w:rFonts w:eastAsia="仿宋"/>
          <w:sz w:val="32"/>
          <w:szCs w:val="32"/>
        </w:rPr>
      </w:pPr>
      <w:r>
        <w:rPr>
          <w:rFonts w:eastAsia="仿宋"/>
          <w:sz w:val="32"/>
          <w:szCs w:val="32"/>
        </w:rPr>
        <w:t>在整理分析基础上，形成部门</w:t>
      </w:r>
      <w:r>
        <w:rPr>
          <w:rFonts w:hint="eastAsia" w:eastAsia="仿宋"/>
          <w:sz w:val="32"/>
          <w:szCs w:val="32"/>
        </w:rPr>
        <w:t>整体</w:t>
      </w:r>
      <w:r>
        <w:rPr>
          <w:rFonts w:eastAsia="仿宋"/>
          <w:sz w:val="32"/>
          <w:szCs w:val="32"/>
        </w:rPr>
        <w:t>自评结果。</w:t>
      </w:r>
    </w:p>
    <w:p>
      <w:pPr>
        <w:pageBreakBefore w:val="0"/>
        <w:widowControl/>
        <w:kinsoku/>
        <w:wordWrap/>
        <w:overflowPunct/>
        <w:topLinePunct w:val="0"/>
        <w:autoSpaceDE/>
        <w:autoSpaceDN/>
        <w:bidi w:val="0"/>
        <w:spacing w:line="360" w:lineRule="auto"/>
        <w:ind w:firstLine="643" w:firstLineChars="200"/>
        <w:textAlignment w:val="auto"/>
        <w:rPr>
          <w:rFonts w:eastAsia="仿宋"/>
          <w:b/>
          <w:bCs/>
          <w:sz w:val="32"/>
          <w:szCs w:val="32"/>
        </w:rPr>
      </w:pPr>
      <w:r>
        <w:rPr>
          <w:rFonts w:hint="eastAsia" w:eastAsia="仿宋"/>
          <w:b/>
          <w:bCs/>
          <w:sz w:val="32"/>
          <w:szCs w:val="32"/>
        </w:rPr>
        <w:t>4.建立部门自评档案</w:t>
      </w:r>
    </w:p>
    <w:p>
      <w:pPr>
        <w:pageBreakBefore w:val="0"/>
        <w:widowControl/>
        <w:kinsoku/>
        <w:wordWrap/>
        <w:overflowPunct/>
        <w:topLinePunct w:val="0"/>
        <w:autoSpaceDE/>
        <w:autoSpaceDN/>
        <w:bidi w:val="0"/>
        <w:spacing w:line="360" w:lineRule="auto"/>
        <w:ind w:firstLine="640" w:firstLineChars="200"/>
        <w:textAlignment w:val="auto"/>
        <w:rPr>
          <w:rFonts w:eastAsia="仿宋"/>
          <w:sz w:val="32"/>
          <w:szCs w:val="32"/>
        </w:rPr>
      </w:pPr>
      <w:r>
        <w:rPr>
          <w:rFonts w:eastAsia="仿宋"/>
          <w:sz w:val="32"/>
          <w:szCs w:val="32"/>
        </w:rPr>
        <w:t>部门</w:t>
      </w:r>
      <w:r>
        <w:rPr>
          <w:rFonts w:hint="eastAsia" w:eastAsia="仿宋"/>
          <w:sz w:val="32"/>
          <w:szCs w:val="32"/>
        </w:rPr>
        <w:t>整体</w:t>
      </w:r>
      <w:r>
        <w:rPr>
          <w:rFonts w:eastAsia="仿宋"/>
          <w:sz w:val="32"/>
          <w:szCs w:val="32"/>
        </w:rPr>
        <w:t>自评结果按时报送财政部门备案并及时归档备查。</w:t>
      </w:r>
    </w:p>
    <w:p>
      <w:pPr>
        <w:pageBreakBefore w:val="0"/>
        <w:widowControl/>
        <w:kinsoku/>
        <w:wordWrap/>
        <w:overflowPunct/>
        <w:topLinePunct w:val="0"/>
        <w:autoSpaceDE/>
        <w:autoSpaceDN/>
        <w:bidi w:val="0"/>
        <w:spacing w:line="360" w:lineRule="auto"/>
        <w:ind w:firstLine="643" w:firstLineChars="200"/>
        <w:jc w:val="left"/>
        <w:textAlignment w:val="auto"/>
        <w:outlineLvl w:val="1"/>
        <w:rPr>
          <w:kern w:val="0"/>
          <w:sz w:val="24"/>
        </w:rPr>
      </w:pPr>
      <w:r>
        <w:rPr>
          <w:rFonts w:eastAsia="楷体"/>
          <w:b/>
          <w:bCs/>
          <w:kern w:val="0"/>
          <w:sz w:val="32"/>
          <w:szCs w:val="32"/>
        </w:rPr>
        <w:t>（三）绩效目标完成情况分析</w:t>
      </w:r>
    </w:p>
    <w:p>
      <w:pPr>
        <w:pStyle w:val="4"/>
        <w:pageBreakBefore w:val="0"/>
        <w:kinsoku/>
        <w:wordWrap/>
        <w:overflowPunct/>
        <w:topLinePunct w:val="0"/>
        <w:autoSpaceDE/>
        <w:autoSpaceDN/>
        <w:bidi w:val="0"/>
        <w:spacing w:before="0" w:after="0" w:line="360" w:lineRule="auto"/>
        <w:ind w:firstLine="643" w:firstLineChars="200"/>
        <w:textAlignment w:val="auto"/>
        <w:rPr>
          <w:rFonts w:ascii="仿宋" w:hAnsi="仿宋" w:eastAsia="仿宋" w:cs="仿宋"/>
        </w:rPr>
      </w:pPr>
      <w:r>
        <w:rPr>
          <w:rFonts w:ascii="仿宋" w:hAnsi="仿宋" w:eastAsia="仿宋" w:cs="仿宋"/>
        </w:rPr>
        <w:t>1.预算执行情况分析（满分20分，得分19.9分）</w:t>
      </w:r>
    </w:p>
    <w:p>
      <w:pPr>
        <w:pageBreakBefore w:val="0"/>
        <w:widowControl/>
        <w:kinsoku/>
        <w:wordWrap/>
        <w:overflowPunct/>
        <w:topLinePunct w:val="0"/>
        <w:autoSpaceDE/>
        <w:autoSpaceDN/>
        <w:bidi w:val="0"/>
        <w:spacing w:line="360" w:lineRule="auto"/>
        <w:ind w:firstLine="640" w:firstLineChars="200"/>
        <w:textAlignment w:val="auto"/>
        <w:rPr>
          <w:rFonts w:eastAsia="仿宋"/>
          <w:sz w:val="32"/>
          <w:szCs w:val="32"/>
        </w:rPr>
      </w:pPr>
      <w:r>
        <w:rPr>
          <w:rFonts w:hint="eastAsia" w:eastAsia="仿宋"/>
          <w:sz w:val="32"/>
          <w:szCs w:val="32"/>
        </w:rPr>
        <w:t>2022年度</w:t>
      </w:r>
      <w:r>
        <w:rPr>
          <w:rFonts w:hint="eastAsia" w:eastAsia="仿宋"/>
          <w:sz w:val="32"/>
          <w:szCs w:val="32"/>
          <w:lang w:val="en-US" w:eastAsia="zh-CN"/>
        </w:rPr>
        <w:t>区住建局</w:t>
      </w:r>
      <w:r>
        <w:rPr>
          <w:rFonts w:hint="eastAsia" w:eastAsia="仿宋"/>
          <w:sz w:val="32"/>
          <w:szCs w:val="32"/>
        </w:rPr>
        <w:t>部门预算总额为266，959.31万元，支出决算数为265,568.66万元，其中：基本支出767.95万元，占本年支出0.28%；项目支出264</w:t>
      </w:r>
      <w:r>
        <w:rPr>
          <w:rFonts w:eastAsia="仿宋"/>
          <w:sz w:val="32"/>
          <w:szCs w:val="32"/>
        </w:rPr>
        <w:t>,</w:t>
      </w:r>
      <w:r>
        <w:rPr>
          <w:rFonts w:hint="eastAsia" w:eastAsia="仿宋"/>
          <w:sz w:val="32"/>
          <w:szCs w:val="32"/>
        </w:rPr>
        <w:t>800.71万元，占本年支出99.72%。预算执行率99.48%。</w:t>
      </w:r>
    </w:p>
    <w:p>
      <w:pPr>
        <w:pStyle w:val="4"/>
        <w:pageBreakBefore w:val="0"/>
        <w:kinsoku/>
        <w:wordWrap/>
        <w:overflowPunct/>
        <w:topLinePunct w:val="0"/>
        <w:autoSpaceDE/>
        <w:autoSpaceDN/>
        <w:bidi w:val="0"/>
        <w:spacing w:before="0" w:after="0" w:line="360" w:lineRule="auto"/>
        <w:ind w:firstLine="643" w:firstLineChars="200"/>
        <w:textAlignment w:val="auto"/>
        <w:rPr>
          <w:rFonts w:ascii="仿宋" w:hAnsi="仿宋" w:eastAsia="仿宋" w:cs="仿宋"/>
        </w:rPr>
      </w:pPr>
      <w:r>
        <w:rPr>
          <w:rFonts w:ascii="仿宋" w:hAnsi="仿宋" w:eastAsia="仿宋" w:cs="仿宋"/>
        </w:rPr>
        <w:t>2.绩效目标完成情况分析（满分80分，得分</w:t>
      </w:r>
      <w:r>
        <w:rPr>
          <w:rFonts w:hint="eastAsia" w:ascii="仿宋" w:hAnsi="仿宋" w:eastAsia="仿宋" w:cs="仿宋"/>
          <w:lang w:val="en-US" w:eastAsia="zh-CN"/>
        </w:rPr>
        <w:t>79</w:t>
      </w:r>
      <w:r>
        <w:rPr>
          <w:rFonts w:ascii="仿宋" w:hAnsi="仿宋" w:eastAsia="仿宋" w:cs="仿宋"/>
        </w:rPr>
        <w:t>分）</w:t>
      </w:r>
    </w:p>
    <w:p>
      <w:pPr>
        <w:pStyle w:val="4"/>
        <w:pageBreakBefore w:val="0"/>
        <w:kinsoku/>
        <w:wordWrap/>
        <w:overflowPunct/>
        <w:topLinePunct w:val="0"/>
        <w:autoSpaceDE/>
        <w:autoSpaceDN/>
        <w:bidi w:val="0"/>
        <w:spacing w:before="0" w:after="0" w:line="360" w:lineRule="auto"/>
        <w:ind w:firstLine="640" w:firstLineChars="200"/>
        <w:textAlignment w:val="auto"/>
        <w:rPr>
          <w:rStyle w:val="34"/>
          <w:rFonts w:hint="eastAsia" w:ascii="仿宋" w:hAnsi="仿宋" w:eastAsia="仿宋" w:cs="仿宋"/>
          <w:b w:val="0"/>
          <w:bCs w:val="0"/>
          <w:sz w:val="32"/>
          <w:szCs w:val="32"/>
        </w:rPr>
      </w:pPr>
      <w:r>
        <w:rPr>
          <w:rStyle w:val="34"/>
          <w:rFonts w:hint="eastAsia" w:ascii="仿宋" w:hAnsi="仿宋" w:eastAsia="仿宋" w:cs="仿宋"/>
          <w:b w:val="0"/>
          <w:bCs w:val="0"/>
          <w:sz w:val="32"/>
          <w:szCs w:val="32"/>
        </w:rPr>
        <w:t>（1）年度目标1：进一步推进城建攻坚计划，全面推进城市基础设施配套建设；加强重点项目协调，全面推进路网项目建设。（满分</w:t>
      </w:r>
      <w:r>
        <w:rPr>
          <w:rStyle w:val="34"/>
          <w:rFonts w:hint="eastAsia" w:ascii="仿宋" w:hAnsi="仿宋" w:eastAsia="仿宋" w:cs="仿宋"/>
          <w:b w:val="0"/>
          <w:bCs w:val="0"/>
          <w:sz w:val="32"/>
          <w:szCs w:val="32"/>
          <w:lang w:val="en-US" w:eastAsia="zh-CN"/>
        </w:rPr>
        <w:t>16</w:t>
      </w:r>
      <w:r>
        <w:rPr>
          <w:rStyle w:val="34"/>
          <w:rFonts w:hint="eastAsia" w:ascii="仿宋" w:hAnsi="仿宋" w:eastAsia="仿宋" w:cs="仿宋"/>
          <w:b w:val="0"/>
          <w:bCs w:val="0"/>
          <w:sz w:val="32"/>
          <w:szCs w:val="32"/>
        </w:rPr>
        <w:t>分，得分</w:t>
      </w:r>
      <w:r>
        <w:rPr>
          <w:rStyle w:val="34"/>
          <w:rFonts w:hint="eastAsia" w:ascii="仿宋" w:hAnsi="仿宋" w:eastAsia="仿宋" w:cs="仿宋"/>
          <w:b w:val="0"/>
          <w:bCs w:val="0"/>
          <w:sz w:val="32"/>
          <w:szCs w:val="32"/>
          <w:lang w:val="en-US" w:eastAsia="zh-CN"/>
        </w:rPr>
        <w:t>16</w:t>
      </w:r>
      <w:r>
        <w:rPr>
          <w:rStyle w:val="34"/>
          <w:rFonts w:hint="eastAsia" w:ascii="仿宋" w:hAnsi="仿宋" w:eastAsia="仿宋" w:cs="仿宋"/>
          <w:b w:val="0"/>
          <w:bCs w:val="0"/>
          <w:sz w:val="32"/>
          <w:szCs w:val="32"/>
        </w:rPr>
        <w:t>分）</w:t>
      </w:r>
    </w:p>
    <w:p>
      <w:pPr>
        <w:keepNext w:val="0"/>
        <w:keepLines w:val="0"/>
        <w:pageBreakBefore w:val="0"/>
        <w:kinsoku/>
        <w:wordWrap/>
        <w:overflowPunct/>
        <w:topLinePunct w:val="0"/>
        <w:autoSpaceDE/>
        <w:autoSpaceDN/>
        <w:bidi w:val="0"/>
        <w:spacing w:line="360" w:lineRule="auto"/>
        <w:ind w:firstLine="640" w:firstLineChars="200"/>
        <w:textAlignment w:val="auto"/>
        <w:rPr>
          <w:rFonts w:eastAsia="仿宋"/>
          <w:sz w:val="32"/>
          <w:szCs w:val="32"/>
        </w:rPr>
      </w:pPr>
      <w:r>
        <w:rPr>
          <w:rFonts w:eastAsia="仿宋"/>
          <w:sz w:val="32"/>
          <w:szCs w:val="32"/>
        </w:rPr>
        <w:t>产出指标完成情况分析：满分10分，得分</w:t>
      </w:r>
      <w:r>
        <w:rPr>
          <w:rFonts w:hint="eastAsia" w:eastAsia="仿宋"/>
          <w:sz w:val="32"/>
          <w:szCs w:val="32"/>
          <w:lang w:val="en-US" w:eastAsia="zh-CN"/>
        </w:rPr>
        <w:t>10</w:t>
      </w:r>
      <w:r>
        <w:rPr>
          <w:rFonts w:eastAsia="仿宋"/>
          <w:sz w:val="32"/>
          <w:szCs w:val="32"/>
        </w:rPr>
        <w:t>分</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eastAsia="仿宋"/>
          <w:sz w:val="32"/>
          <w:szCs w:val="32"/>
        </w:rPr>
      </w:pPr>
      <w:r>
        <w:rPr>
          <w:rFonts w:eastAsia="仿宋"/>
          <w:sz w:val="32"/>
          <w:szCs w:val="32"/>
        </w:rPr>
        <w:t>①</w:t>
      </w:r>
      <w:r>
        <w:rPr>
          <w:rFonts w:hint="eastAsia" w:eastAsia="仿宋"/>
          <w:sz w:val="32"/>
          <w:szCs w:val="32"/>
        </w:rPr>
        <w:t>微循环路网建设推进进度</w:t>
      </w:r>
      <w:r>
        <w:rPr>
          <w:rFonts w:eastAsia="仿宋"/>
          <w:sz w:val="32"/>
          <w:szCs w:val="32"/>
        </w:rPr>
        <w:t>：满分</w:t>
      </w:r>
      <w:r>
        <w:rPr>
          <w:rFonts w:hint="eastAsia" w:eastAsia="仿宋"/>
          <w:sz w:val="32"/>
          <w:szCs w:val="32"/>
        </w:rPr>
        <w:t>5</w:t>
      </w:r>
      <w:r>
        <w:rPr>
          <w:rFonts w:eastAsia="仿宋"/>
          <w:sz w:val="32"/>
          <w:szCs w:val="32"/>
        </w:rPr>
        <w:t>分，得分</w:t>
      </w:r>
      <w:r>
        <w:rPr>
          <w:rFonts w:hint="eastAsia" w:eastAsia="仿宋"/>
          <w:sz w:val="32"/>
          <w:szCs w:val="32"/>
          <w:lang w:val="en-US" w:eastAsia="zh-CN"/>
        </w:rPr>
        <w:t>5</w:t>
      </w:r>
      <w:r>
        <w:rPr>
          <w:rFonts w:eastAsia="仿宋"/>
          <w:sz w:val="32"/>
          <w:szCs w:val="32"/>
        </w:rPr>
        <w:t>分</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eastAsia="仿宋"/>
          <w:sz w:val="32"/>
          <w:szCs w:val="32"/>
        </w:rPr>
      </w:pPr>
      <w:r>
        <w:rPr>
          <w:rFonts w:hint="eastAsia" w:eastAsia="仿宋"/>
          <w:sz w:val="32"/>
          <w:szCs w:val="32"/>
        </w:rPr>
        <w:t>目标为有效推进，</w:t>
      </w:r>
      <w:r>
        <w:rPr>
          <w:rFonts w:hint="eastAsia" w:ascii="Times New Roman" w:hAnsi="Times New Roman" w:eastAsia="仿宋_GB2312" w:cs="Times New Roman"/>
          <w:b w:val="0"/>
          <w:color w:val="000000"/>
          <w:kern w:val="2"/>
          <w:sz w:val="32"/>
          <w:szCs w:val="32"/>
          <w:lang w:val="en-US" w:eastAsia="zh-CN" w:bidi="ar-SA"/>
        </w:rPr>
        <w:t>2022</w:t>
      </w:r>
      <w:r>
        <w:rPr>
          <w:rFonts w:hint="eastAsia" w:ascii="仿宋_GB2312" w:hAnsi="仿宋_GB2312" w:eastAsia="仿宋_GB2312" w:cs="仿宋_GB2312"/>
          <w:b w:val="0"/>
          <w:color w:val="000000"/>
          <w:kern w:val="2"/>
          <w:sz w:val="32"/>
          <w:szCs w:val="32"/>
          <w:lang w:val="en-US" w:eastAsia="zh-CN" w:bidi="ar-SA"/>
        </w:rPr>
        <w:t>年经开区路网建设项目共计</w:t>
      </w:r>
      <w:r>
        <w:rPr>
          <w:rFonts w:hint="eastAsia" w:ascii="Times New Roman" w:hAnsi="Times New Roman" w:eastAsia="仿宋_GB2312" w:cs="Times New Roman"/>
          <w:b w:val="0"/>
          <w:color w:val="000000"/>
          <w:kern w:val="2"/>
          <w:sz w:val="32"/>
          <w:szCs w:val="32"/>
          <w:lang w:val="en-US" w:eastAsia="zh-CN" w:bidi="ar-SA"/>
        </w:rPr>
        <w:t>13</w:t>
      </w:r>
      <w:r>
        <w:rPr>
          <w:rFonts w:hint="eastAsia" w:ascii="仿宋_GB2312" w:hAnsi="仿宋_GB2312" w:eastAsia="仿宋_GB2312" w:cs="仿宋_GB2312"/>
          <w:b w:val="0"/>
          <w:color w:val="000000"/>
          <w:kern w:val="2"/>
          <w:sz w:val="32"/>
          <w:szCs w:val="32"/>
          <w:lang w:val="en-US" w:eastAsia="zh-CN" w:bidi="ar-SA"/>
        </w:rPr>
        <w:t>条，计划总投资</w:t>
      </w:r>
      <w:r>
        <w:rPr>
          <w:rFonts w:hint="eastAsia" w:ascii="Times New Roman" w:hAnsi="Times New Roman" w:eastAsia="仿宋_GB2312" w:cs="Times New Roman"/>
          <w:b w:val="0"/>
          <w:color w:val="000000"/>
          <w:kern w:val="2"/>
          <w:sz w:val="32"/>
          <w:szCs w:val="32"/>
          <w:lang w:val="en-US" w:eastAsia="zh-CN" w:bidi="ar-SA"/>
        </w:rPr>
        <w:t>3.275</w:t>
      </w:r>
      <w:r>
        <w:rPr>
          <w:rFonts w:hint="eastAsia" w:ascii="仿宋_GB2312" w:hAnsi="仿宋_GB2312" w:eastAsia="仿宋_GB2312" w:cs="仿宋_GB2312"/>
          <w:b w:val="0"/>
          <w:color w:val="000000"/>
          <w:kern w:val="2"/>
          <w:sz w:val="32"/>
          <w:szCs w:val="32"/>
          <w:lang w:val="en-US" w:eastAsia="zh-CN" w:bidi="ar-SA"/>
        </w:rPr>
        <w:t>亿元，截至</w:t>
      </w:r>
      <w:r>
        <w:rPr>
          <w:rFonts w:hint="eastAsia" w:ascii="Times New Roman" w:hAnsi="Times New Roman" w:eastAsia="仿宋_GB2312" w:cs="Times New Roman"/>
          <w:b w:val="0"/>
          <w:color w:val="000000"/>
          <w:kern w:val="2"/>
          <w:sz w:val="32"/>
          <w:szCs w:val="32"/>
          <w:lang w:val="en-US" w:eastAsia="zh-CN" w:bidi="ar-SA"/>
        </w:rPr>
        <w:t>12</w:t>
      </w:r>
      <w:r>
        <w:rPr>
          <w:rFonts w:hint="eastAsia" w:ascii="仿宋_GB2312" w:hAnsi="仿宋_GB2312" w:eastAsia="仿宋_GB2312" w:cs="仿宋_GB2312"/>
          <w:b w:val="0"/>
          <w:color w:val="000000"/>
          <w:kern w:val="2"/>
          <w:sz w:val="32"/>
          <w:szCs w:val="32"/>
          <w:lang w:val="en-US" w:eastAsia="zh-CN" w:bidi="ar-SA"/>
        </w:rPr>
        <w:t>月底完成道路建设</w:t>
      </w:r>
      <w:r>
        <w:rPr>
          <w:rFonts w:hint="eastAsia" w:ascii="Times New Roman" w:hAnsi="Times New Roman" w:eastAsia="仿宋_GB2312" w:cs="Times New Roman"/>
          <w:b w:val="0"/>
          <w:color w:val="000000"/>
          <w:kern w:val="2"/>
          <w:sz w:val="32"/>
          <w:szCs w:val="32"/>
          <w:lang w:val="en-US" w:eastAsia="zh-CN" w:bidi="ar-SA"/>
        </w:rPr>
        <w:t>13</w:t>
      </w:r>
      <w:r>
        <w:rPr>
          <w:rFonts w:hint="eastAsia" w:ascii="仿宋_GB2312" w:hAnsi="仿宋_GB2312" w:eastAsia="仿宋_GB2312" w:cs="仿宋_GB2312"/>
          <w:b w:val="0"/>
          <w:color w:val="000000"/>
          <w:kern w:val="2"/>
          <w:sz w:val="32"/>
          <w:szCs w:val="32"/>
          <w:lang w:val="en-US" w:eastAsia="zh-CN" w:bidi="ar-SA"/>
        </w:rPr>
        <w:t>条，完成投资</w:t>
      </w:r>
      <w:r>
        <w:rPr>
          <w:rFonts w:hint="eastAsia" w:ascii="Times New Roman" w:hAnsi="Times New Roman" w:eastAsia="仿宋_GB2312" w:cs="Times New Roman"/>
          <w:b w:val="0"/>
          <w:color w:val="000000"/>
          <w:kern w:val="2"/>
          <w:sz w:val="32"/>
          <w:szCs w:val="32"/>
          <w:lang w:val="en-US" w:eastAsia="zh-CN" w:bidi="ar-SA"/>
        </w:rPr>
        <w:t>3.412</w:t>
      </w:r>
      <w:r>
        <w:rPr>
          <w:rFonts w:hint="eastAsia" w:ascii="仿宋_GB2312" w:hAnsi="仿宋_GB2312" w:eastAsia="仿宋_GB2312" w:cs="仿宋_GB2312"/>
          <w:b w:val="0"/>
          <w:color w:val="000000"/>
          <w:kern w:val="2"/>
          <w:sz w:val="32"/>
          <w:szCs w:val="32"/>
          <w:lang w:val="en-US" w:eastAsia="zh-CN" w:bidi="ar-SA"/>
        </w:rPr>
        <w:t>亿元，投资完成率</w:t>
      </w:r>
      <w:r>
        <w:rPr>
          <w:rFonts w:hint="eastAsia" w:ascii="Times New Roman" w:hAnsi="Times New Roman" w:eastAsia="仿宋_GB2312" w:cs="Times New Roman"/>
          <w:b w:val="0"/>
          <w:color w:val="000000"/>
          <w:kern w:val="2"/>
          <w:sz w:val="32"/>
          <w:szCs w:val="32"/>
          <w:lang w:val="en-US" w:eastAsia="zh-CN" w:bidi="ar-SA"/>
        </w:rPr>
        <w:t>104.17%</w:t>
      </w:r>
      <w:r>
        <w:rPr>
          <w:rFonts w:hint="eastAsia" w:ascii="仿宋_GB2312" w:hAnsi="仿宋_GB2312" w:eastAsia="仿宋_GB2312" w:cs="仿宋_GB2312"/>
          <w:b w:val="0"/>
          <w:color w:val="000000"/>
          <w:kern w:val="2"/>
          <w:sz w:val="32"/>
          <w:szCs w:val="32"/>
          <w:lang w:val="en-US" w:eastAsia="zh-CN" w:bidi="ar-SA"/>
        </w:rPr>
        <w:t>。</w:t>
      </w:r>
      <w:r>
        <w:rPr>
          <w:rFonts w:hint="eastAsia" w:ascii="Times New Roman" w:hAnsi="Times New Roman" w:eastAsia="仿宋_GB2312" w:cs="Times New Roman"/>
          <w:b w:val="0"/>
          <w:color w:val="000000"/>
          <w:kern w:val="2"/>
          <w:sz w:val="32"/>
          <w:szCs w:val="32"/>
          <w:lang w:val="en-US" w:eastAsia="zh-CN" w:bidi="ar-SA"/>
        </w:rPr>
        <w:t>2022</w:t>
      </w:r>
      <w:r>
        <w:rPr>
          <w:rFonts w:hint="eastAsia" w:ascii="仿宋_GB2312" w:hAnsi="仿宋_GB2312" w:eastAsia="仿宋_GB2312" w:cs="仿宋_GB2312"/>
          <w:b w:val="0"/>
          <w:color w:val="000000"/>
          <w:kern w:val="2"/>
          <w:sz w:val="32"/>
          <w:szCs w:val="32"/>
          <w:lang w:val="en-US" w:eastAsia="zh-CN" w:bidi="ar-SA"/>
        </w:rPr>
        <w:t>年年终考核全市排名第五，开发区排名第二，</w:t>
      </w:r>
      <w:r>
        <w:rPr>
          <w:rFonts w:hint="eastAsia" w:eastAsia="仿宋"/>
          <w:sz w:val="32"/>
          <w:szCs w:val="32"/>
        </w:rPr>
        <w:t>微循环路网建设推进进度</w:t>
      </w:r>
      <w:r>
        <w:rPr>
          <w:rFonts w:eastAsia="仿宋"/>
          <w:color w:val="000000" w:themeColor="text1"/>
          <w:sz w:val="32"/>
          <w:szCs w:val="32"/>
          <w14:textFill>
            <w14:solidFill>
              <w14:schemeClr w14:val="tx1"/>
            </w14:solidFill>
          </w14:textFill>
        </w:rPr>
        <w:t>完成目标</w:t>
      </w:r>
      <w:r>
        <w:rPr>
          <w:rFonts w:eastAsia="仿宋"/>
          <w:sz w:val="32"/>
          <w:szCs w:val="32"/>
        </w:rPr>
        <w:t>。</w:t>
      </w:r>
    </w:p>
    <w:p>
      <w:pPr>
        <w:pStyle w:val="7"/>
        <w:pageBreakBefore w:val="0"/>
        <w:kinsoku/>
        <w:wordWrap/>
        <w:overflowPunct/>
        <w:topLinePunct w:val="0"/>
        <w:autoSpaceDE/>
        <w:autoSpaceDN/>
        <w:bidi w:val="0"/>
        <w:spacing w:after="0" w:line="360" w:lineRule="auto"/>
        <w:ind w:firstLine="640" w:firstLineChars="200"/>
        <w:textAlignment w:val="auto"/>
        <w:rPr>
          <w:rFonts w:eastAsia="仿宋"/>
          <w:sz w:val="32"/>
          <w:szCs w:val="32"/>
        </w:rPr>
      </w:pPr>
      <w:r>
        <w:rPr>
          <w:rFonts w:hint="eastAsia" w:ascii="仿宋" w:hAnsi="仿宋" w:eastAsia="仿宋"/>
          <w:sz w:val="32"/>
          <w:szCs w:val="32"/>
        </w:rPr>
        <w:t>②</w:t>
      </w:r>
      <w:r>
        <w:rPr>
          <w:rFonts w:hint="eastAsia" w:eastAsia="仿宋"/>
          <w:sz w:val="32"/>
          <w:szCs w:val="32"/>
        </w:rPr>
        <w:t>市（区）级重点项目建设推进度</w:t>
      </w:r>
      <w:r>
        <w:rPr>
          <w:rFonts w:eastAsia="仿宋"/>
          <w:sz w:val="32"/>
          <w:szCs w:val="32"/>
        </w:rPr>
        <w:t>：满分</w:t>
      </w:r>
      <w:r>
        <w:rPr>
          <w:rFonts w:hint="eastAsia" w:eastAsia="仿宋"/>
          <w:sz w:val="32"/>
          <w:szCs w:val="32"/>
        </w:rPr>
        <w:t>5</w:t>
      </w:r>
      <w:r>
        <w:rPr>
          <w:rFonts w:eastAsia="仿宋"/>
          <w:sz w:val="32"/>
          <w:szCs w:val="32"/>
        </w:rPr>
        <w:t>分，得分</w:t>
      </w:r>
      <w:r>
        <w:rPr>
          <w:rFonts w:hint="eastAsia" w:eastAsia="仿宋"/>
          <w:sz w:val="32"/>
          <w:szCs w:val="32"/>
        </w:rPr>
        <w:t>5</w:t>
      </w:r>
      <w:r>
        <w:rPr>
          <w:rFonts w:eastAsia="仿宋"/>
          <w:sz w:val="32"/>
          <w:szCs w:val="32"/>
        </w:rPr>
        <w:t>分</w:t>
      </w:r>
    </w:p>
    <w:p>
      <w:pPr>
        <w:pStyle w:val="7"/>
        <w:keepNext w:val="0"/>
        <w:keepLines w:val="0"/>
        <w:pageBreakBefore w:val="0"/>
        <w:widowControl w:val="0"/>
        <w:kinsoku/>
        <w:wordWrap/>
        <w:overflowPunct/>
        <w:topLinePunct w:val="0"/>
        <w:autoSpaceDE/>
        <w:autoSpaceDN/>
        <w:bidi w:val="0"/>
        <w:spacing w:after="0" w:line="360" w:lineRule="auto"/>
        <w:ind w:firstLine="640" w:firstLineChars="200"/>
        <w:textAlignment w:val="auto"/>
        <w:rPr>
          <w:rFonts w:hint="eastAsia" w:ascii="仿宋_GB2312" w:hAnsi="仿宋_GB2312" w:eastAsia="仿宋_GB2312" w:cs="仿宋_GB2312"/>
          <w:b w:val="0"/>
          <w:color w:val="000000"/>
          <w:kern w:val="2"/>
          <w:sz w:val="32"/>
          <w:szCs w:val="32"/>
          <w:lang w:val="en-US" w:eastAsia="zh-CN" w:bidi="ar-SA"/>
        </w:rPr>
      </w:pPr>
      <w:r>
        <w:rPr>
          <w:rFonts w:hint="eastAsia" w:eastAsia="仿宋"/>
          <w:sz w:val="32"/>
          <w:szCs w:val="32"/>
        </w:rPr>
        <w:t>目标为重点项目推进度10</w:t>
      </w:r>
      <w:r>
        <w:rPr>
          <w:rFonts w:eastAsia="仿宋"/>
          <w:sz w:val="32"/>
          <w:szCs w:val="32"/>
        </w:rPr>
        <w:t>0%</w:t>
      </w:r>
      <w:r>
        <w:rPr>
          <w:rFonts w:hint="eastAsia" w:eastAsia="仿宋"/>
          <w:sz w:val="32"/>
          <w:szCs w:val="32"/>
        </w:rPr>
        <w:t>，</w:t>
      </w:r>
      <w:r>
        <w:rPr>
          <w:rFonts w:hint="eastAsia" w:eastAsia="仿宋"/>
          <w:sz w:val="32"/>
          <w:szCs w:val="32"/>
          <w:lang w:val="en-US" w:eastAsia="zh-CN"/>
        </w:rPr>
        <w:t>2022年度市（区）级重点项目包括:</w:t>
      </w:r>
      <w:r>
        <w:rPr>
          <w:rFonts w:hint="eastAsia" w:ascii="仿宋_GB2312" w:hAnsi="仿宋_GB2312" w:eastAsia="仿宋_GB2312" w:cs="仿宋_GB2312"/>
          <w:b w:val="0"/>
          <w:color w:val="000000"/>
          <w:kern w:val="2"/>
          <w:sz w:val="32"/>
          <w:szCs w:val="32"/>
          <w:lang w:val="en-US" w:eastAsia="zh-CN" w:bidi="ar-SA"/>
        </w:rPr>
        <w:t>军纱大道延长线、左岸大道（三环线-万家湖）、左岸大道（万家湖南路~小军山），各项目实施情况如下：</w:t>
      </w:r>
    </w:p>
    <w:p>
      <w:pPr>
        <w:pStyle w:val="7"/>
        <w:keepNext w:val="0"/>
        <w:keepLines w:val="0"/>
        <w:pageBreakBefore w:val="0"/>
        <w:widowControl w:val="0"/>
        <w:numPr>
          <w:ilvl w:val="0"/>
          <w:numId w:val="1"/>
        </w:numPr>
        <w:kinsoku/>
        <w:wordWrap/>
        <w:overflowPunct/>
        <w:topLinePunct w:val="0"/>
        <w:autoSpaceDE/>
        <w:autoSpaceDN/>
        <w:bidi w:val="0"/>
        <w:spacing w:after="0" w:line="360" w:lineRule="auto"/>
        <w:ind w:firstLine="640" w:firstLineChars="200"/>
        <w:textAlignment w:val="auto"/>
        <w:rPr>
          <w:rFonts w:hint="eastAsia" w:ascii="仿宋_GB2312" w:hAnsi="仿宋_GB2312" w:eastAsia="仿宋_GB2312" w:cs="仿宋_GB2312"/>
          <w:b w:val="0"/>
          <w:color w:val="000000"/>
          <w:kern w:val="2"/>
          <w:sz w:val="32"/>
          <w:szCs w:val="32"/>
          <w:lang w:val="en-US" w:eastAsia="zh-CN" w:bidi="ar-SA"/>
        </w:rPr>
      </w:pPr>
      <w:r>
        <w:rPr>
          <w:rFonts w:hint="eastAsia" w:ascii="仿宋_GB2312" w:hAnsi="仿宋_GB2312" w:eastAsia="仿宋_GB2312" w:cs="仿宋_GB2312"/>
          <w:b w:val="0"/>
          <w:color w:val="000000"/>
          <w:kern w:val="2"/>
          <w:sz w:val="32"/>
          <w:szCs w:val="32"/>
          <w:lang w:val="en-US" w:eastAsia="zh-CN" w:bidi="ar-SA"/>
        </w:rPr>
        <w:t>军纱大道延长线：2022年度桥梁工程完成跨马影河段主栈桥及河道桩基施工平台搭建，桥梁桩基共计完成80根，占比60%，正在进行承台及墩柱施工，道路工程完成兴城大道-汉南大道内通道支护桩施工，正在进行雨污水管道改造施工及电力通道施工，2022年累计完成产值6000元，占施工总产值的16%。</w:t>
      </w:r>
    </w:p>
    <w:p>
      <w:pPr>
        <w:pStyle w:val="7"/>
        <w:keepNext w:val="0"/>
        <w:keepLines w:val="0"/>
        <w:pageBreakBefore w:val="0"/>
        <w:widowControl w:val="0"/>
        <w:numPr>
          <w:ilvl w:val="0"/>
          <w:numId w:val="1"/>
        </w:numPr>
        <w:kinsoku/>
        <w:wordWrap/>
        <w:overflowPunct/>
        <w:topLinePunct w:val="0"/>
        <w:autoSpaceDE/>
        <w:autoSpaceDN/>
        <w:bidi w:val="0"/>
        <w:spacing w:after="0" w:line="360" w:lineRule="auto"/>
        <w:ind w:firstLine="640" w:firstLineChars="200"/>
        <w:textAlignment w:val="auto"/>
        <w:rPr>
          <w:rFonts w:hint="eastAsia" w:ascii="仿宋_GB2312" w:hAnsi="仿宋_GB2312" w:eastAsia="仿宋_GB2312" w:cs="仿宋_GB2312"/>
          <w:b w:val="0"/>
          <w:color w:val="000000"/>
          <w:kern w:val="2"/>
          <w:sz w:val="32"/>
          <w:szCs w:val="32"/>
          <w:lang w:val="en-US" w:eastAsia="zh-CN" w:bidi="ar-SA"/>
        </w:rPr>
      </w:pPr>
      <w:r>
        <w:rPr>
          <w:rFonts w:hint="eastAsia" w:ascii="仿宋_GB2312" w:hAnsi="仿宋_GB2312" w:eastAsia="仿宋_GB2312" w:cs="仿宋_GB2312"/>
          <w:b w:val="0"/>
          <w:color w:val="000000"/>
          <w:kern w:val="2"/>
          <w:sz w:val="32"/>
          <w:szCs w:val="32"/>
          <w:lang w:val="en-US" w:eastAsia="zh-CN" w:bidi="ar-SA"/>
        </w:rPr>
        <w:t>左岸大道（三环线-万家湖）：截至2022年底，累计完成桥梁桩基341根、完成设计量658根的51.8%；承台82个、完成设计量170个的48.2%；墩柱70个、完成设计量170个的41.2%；涉铁段支护桩完成设计量342根的100%；软基处理水泥搅拌桩约44万延米，土方完成约22万方，现浇箱梁完成8联，截至</w:t>
      </w:r>
      <w:bookmarkStart w:id="5" w:name="_GoBack"/>
      <w:bookmarkEnd w:id="5"/>
      <w:r>
        <w:rPr>
          <w:rFonts w:hint="eastAsia" w:ascii="仿宋_GB2312" w:hAnsi="仿宋_GB2312" w:eastAsia="仿宋_GB2312" w:cs="仿宋_GB2312"/>
          <w:b w:val="0"/>
          <w:color w:val="000000"/>
          <w:kern w:val="2"/>
          <w:sz w:val="32"/>
          <w:szCs w:val="32"/>
          <w:lang w:val="en-US" w:eastAsia="zh-CN" w:bidi="ar-SA"/>
        </w:rPr>
        <w:t>目前完成产值约4.94亿元，占施工总产值的20%。通顺大道南延线：项目已纳入数字经济产业园及配套基础设施项目包内，项目前期工作已进本完成，2022年12月取得发改局下达的初步设计审查意见，目前正在进行EPC招标工作，计划2023年1月开标，2月项目开工。</w:t>
      </w:r>
    </w:p>
    <w:p>
      <w:pPr>
        <w:pStyle w:val="7"/>
        <w:keepNext w:val="0"/>
        <w:keepLines w:val="0"/>
        <w:pageBreakBefore w:val="0"/>
        <w:widowControl w:val="0"/>
        <w:numPr>
          <w:ilvl w:val="0"/>
          <w:numId w:val="1"/>
        </w:numPr>
        <w:kinsoku/>
        <w:wordWrap/>
        <w:overflowPunct/>
        <w:topLinePunct w:val="0"/>
        <w:autoSpaceDE/>
        <w:autoSpaceDN/>
        <w:bidi w:val="0"/>
        <w:spacing w:after="0" w:line="360" w:lineRule="auto"/>
        <w:ind w:firstLine="640" w:firstLineChars="200"/>
        <w:textAlignment w:val="auto"/>
        <w:rPr>
          <w:rFonts w:hint="eastAsia" w:ascii="仿宋_GB2312" w:hAnsi="仿宋_GB2312" w:eastAsia="仿宋_GB2312" w:cs="仿宋_GB2312"/>
          <w:b w:val="0"/>
          <w:color w:val="000000"/>
          <w:kern w:val="2"/>
          <w:sz w:val="32"/>
          <w:szCs w:val="32"/>
          <w:lang w:val="en-US" w:eastAsia="zh-CN" w:bidi="ar-SA"/>
        </w:rPr>
      </w:pPr>
      <w:r>
        <w:rPr>
          <w:rFonts w:hint="eastAsia" w:ascii="仿宋_GB2312" w:hAnsi="仿宋_GB2312" w:eastAsia="仿宋_GB2312" w:cs="仿宋_GB2312"/>
          <w:b w:val="0"/>
          <w:color w:val="000000"/>
          <w:kern w:val="2"/>
          <w:sz w:val="32"/>
          <w:szCs w:val="32"/>
          <w:lang w:val="en-US" w:eastAsia="zh-CN" w:bidi="ar-SA"/>
        </w:rPr>
        <w:t>左岸大道（万家湖南路~小军山）进展：2022年度路基工程已完工，桥梁工程完成除砂场影响范围以外桩基、承台、墩身施工，占比87%，正在进行主桥顶推及桥梁上部结构施工，2022年累计完成产值20亿元，占施工总产值的83.7%。重点项目均有效推进，完成目标。</w:t>
      </w:r>
    </w:p>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textAlignment w:val="auto"/>
        <w:rPr>
          <w:rFonts w:eastAsia="仿宋"/>
          <w:sz w:val="32"/>
          <w:szCs w:val="32"/>
        </w:rPr>
      </w:pPr>
      <w:r>
        <w:rPr>
          <w:rFonts w:eastAsia="仿宋"/>
          <w:sz w:val="32"/>
          <w:szCs w:val="32"/>
        </w:rPr>
        <w:t>效益指标完成情况分析：满分</w:t>
      </w:r>
      <w:r>
        <w:rPr>
          <w:rFonts w:hint="eastAsia" w:eastAsia="仿宋"/>
          <w:sz w:val="32"/>
          <w:szCs w:val="32"/>
          <w:lang w:val="en-US" w:eastAsia="zh-CN"/>
        </w:rPr>
        <w:t>6</w:t>
      </w:r>
      <w:r>
        <w:rPr>
          <w:rFonts w:eastAsia="仿宋"/>
          <w:sz w:val="32"/>
          <w:szCs w:val="32"/>
        </w:rPr>
        <w:t>分，得分</w:t>
      </w:r>
      <w:r>
        <w:rPr>
          <w:rFonts w:hint="eastAsia" w:eastAsia="仿宋"/>
          <w:sz w:val="32"/>
          <w:szCs w:val="32"/>
          <w:lang w:val="en-US" w:eastAsia="zh-CN"/>
        </w:rPr>
        <w:t>6</w:t>
      </w:r>
      <w:r>
        <w:rPr>
          <w:rFonts w:eastAsia="仿宋"/>
          <w:sz w:val="32"/>
          <w:szCs w:val="32"/>
        </w:rPr>
        <w:t>分</w:t>
      </w:r>
    </w:p>
    <w:p>
      <w:pPr>
        <w:pageBreakBefore w:val="0"/>
        <w:kinsoku/>
        <w:wordWrap/>
        <w:overflowPunct/>
        <w:topLinePunct w:val="0"/>
        <w:autoSpaceDE/>
        <w:autoSpaceDN/>
        <w:bidi w:val="0"/>
        <w:adjustRightInd w:val="0"/>
        <w:snapToGrid w:val="0"/>
        <w:spacing w:line="360" w:lineRule="auto"/>
        <w:ind w:firstLine="640" w:firstLineChars="200"/>
        <w:textAlignment w:val="auto"/>
        <w:rPr>
          <w:rFonts w:eastAsia="仿宋"/>
          <w:sz w:val="32"/>
          <w:szCs w:val="32"/>
        </w:rPr>
      </w:pPr>
      <w:r>
        <w:rPr>
          <w:rFonts w:eastAsia="仿宋"/>
          <w:sz w:val="32"/>
          <w:szCs w:val="32"/>
        </w:rPr>
        <w:t>①</w:t>
      </w:r>
      <w:r>
        <w:rPr>
          <w:rFonts w:hint="eastAsia" w:eastAsia="仿宋"/>
          <w:sz w:val="32"/>
          <w:szCs w:val="32"/>
        </w:rPr>
        <w:t>全区建筑业投资提升度</w:t>
      </w:r>
      <w:r>
        <w:rPr>
          <w:rFonts w:eastAsia="仿宋"/>
          <w:sz w:val="32"/>
          <w:szCs w:val="32"/>
        </w:rPr>
        <w:t>：满分</w:t>
      </w:r>
      <w:r>
        <w:rPr>
          <w:rFonts w:hint="eastAsia" w:eastAsia="仿宋"/>
          <w:sz w:val="32"/>
          <w:szCs w:val="32"/>
          <w:lang w:val="en-US" w:eastAsia="zh-CN"/>
        </w:rPr>
        <w:t>6</w:t>
      </w:r>
      <w:r>
        <w:rPr>
          <w:rFonts w:eastAsia="仿宋"/>
          <w:sz w:val="32"/>
          <w:szCs w:val="32"/>
        </w:rPr>
        <w:t>分，得分</w:t>
      </w:r>
      <w:r>
        <w:rPr>
          <w:rFonts w:hint="eastAsia" w:eastAsia="仿宋"/>
          <w:sz w:val="32"/>
          <w:szCs w:val="32"/>
          <w:lang w:val="en-US" w:eastAsia="zh-CN"/>
        </w:rPr>
        <w:t>6</w:t>
      </w:r>
      <w:r>
        <w:rPr>
          <w:rFonts w:eastAsia="仿宋"/>
          <w:sz w:val="32"/>
          <w:szCs w:val="32"/>
        </w:rPr>
        <w:t>分</w:t>
      </w:r>
    </w:p>
    <w:p>
      <w:pPr>
        <w:pageBreakBefore w:val="0"/>
        <w:kinsoku/>
        <w:wordWrap/>
        <w:overflowPunct/>
        <w:topLinePunct w:val="0"/>
        <w:autoSpaceDE/>
        <w:autoSpaceDN/>
        <w:bidi w:val="0"/>
        <w:adjustRightInd w:val="0"/>
        <w:snapToGrid w:val="0"/>
        <w:spacing w:line="360" w:lineRule="auto"/>
        <w:ind w:firstLine="640" w:firstLineChars="200"/>
        <w:textAlignment w:val="auto"/>
        <w:rPr>
          <w:rFonts w:ascii="仿宋" w:hAnsi="仿宋" w:eastAsia="仿宋"/>
          <w:sz w:val="32"/>
          <w:szCs w:val="32"/>
          <w:highlight w:val="none"/>
        </w:rPr>
      </w:pPr>
      <w:r>
        <w:rPr>
          <w:rFonts w:hint="eastAsia" w:eastAsia="仿宋"/>
          <w:sz w:val="32"/>
          <w:szCs w:val="32"/>
        </w:rPr>
        <w:t>目标为全区建筑业投资提升，</w:t>
      </w:r>
      <w:r>
        <w:rPr>
          <w:rFonts w:hint="eastAsia" w:eastAsia="仿宋"/>
          <w:sz w:val="32"/>
          <w:szCs w:val="32"/>
          <w:lang w:val="en-US" w:eastAsia="zh-CN"/>
        </w:rPr>
        <w:t>2022年度</w:t>
      </w:r>
      <w:r>
        <w:rPr>
          <w:rFonts w:hint="eastAsia" w:ascii="仿宋_GB2312" w:hAnsi="仿宋" w:eastAsia="仿宋_GB2312" w:cs="仿宋_GB2312"/>
          <w:color w:val="000000"/>
          <w:sz w:val="32"/>
          <w:szCs w:val="32"/>
        </w:rPr>
        <w:t>完成城建投资430亿元；完成基础设施固投</w:t>
      </w:r>
      <w:r>
        <w:rPr>
          <w:rFonts w:ascii="仿宋_GB2312" w:hAnsi="仿宋" w:eastAsia="仿宋_GB2312" w:cs="仿宋_GB2312"/>
          <w:sz w:val="32"/>
          <w:szCs w:val="32"/>
        </w:rPr>
        <w:t>164.54</w:t>
      </w:r>
      <w:r>
        <w:rPr>
          <w:rFonts w:hint="eastAsia" w:ascii="仿宋_GB2312" w:hAnsi="仿宋" w:eastAsia="仿宋_GB2312" w:cs="仿宋_GB2312"/>
          <w:color w:val="000000"/>
          <w:sz w:val="32"/>
          <w:szCs w:val="32"/>
        </w:rPr>
        <w:t>亿元，同比增长</w:t>
      </w:r>
      <w:r>
        <w:rPr>
          <w:rFonts w:ascii="仿宋_GB2312" w:hAnsi="仿宋" w:eastAsia="仿宋_GB2312" w:cs="仿宋_GB2312"/>
          <w:color w:val="000000"/>
          <w:sz w:val="32"/>
          <w:szCs w:val="32"/>
        </w:rPr>
        <w:t>2</w:t>
      </w:r>
      <w:r>
        <w:rPr>
          <w:rFonts w:ascii="仿宋_GB2312" w:hAnsi="仿宋" w:eastAsia="仿宋_GB2312" w:cs="仿宋_GB2312"/>
          <w:color w:val="000000"/>
          <w:sz w:val="32"/>
          <w:szCs w:val="32"/>
          <w:highlight w:val="none"/>
        </w:rPr>
        <w:t>.9%</w:t>
      </w:r>
      <w:r>
        <w:rPr>
          <w:rFonts w:hint="eastAsia" w:ascii="仿宋_GB2312" w:hAnsi="仿宋" w:eastAsia="仿宋_GB2312" w:cs="仿宋_GB2312"/>
          <w:color w:val="000000"/>
          <w:sz w:val="32"/>
          <w:szCs w:val="32"/>
          <w:highlight w:val="none"/>
        </w:rPr>
        <w:t>。</w:t>
      </w:r>
      <w:r>
        <w:rPr>
          <w:rFonts w:hint="eastAsia" w:ascii="仿宋_GB2312" w:hAnsi="仿宋" w:eastAsia="仿宋_GB2312" w:cs="仿宋_GB2312"/>
          <w:color w:val="000000"/>
          <w:sz w:val="32"/>
          <w:szCs w:val="32"/>
        </w:rPr>
        <w:t>车谷大道建成投用，16号线二期通车运营，兴城大道快速化改造、马影河大道改扩建项目顺利完工，汉洪高速完成路灯改造首次亮灯，左岸大道跨通顺河大桥顺利合拢，</w:t>
      </w:r>
      <w:r>
        <w:rPr>
          <w:rFonts w:hint="eastAsia" w:ascii="仿宋" w:hAnsi="仿宋" w:eastAsia="仿宋"/>
          <w:sz w:val="32"/>
          <w:szCs w:val="32"/>
          <w:highlight w:val="none"/>
        </w:rPr>
        <w:t>完成目标。</w:t>
      </w:r>
    </w:p>
    <w:p>
      <w:pPr>
        <w:pStyle w:val="4"/>
        <w:pageBreakBefore w:val="0"/>
        <w:kinsoku/>
        <w:wordWrap/>
        <w:overflowPunct/>
        <w:topLinePunct w:val="0"/>
        <w:autoSpaceDE/>
        <w:autoSpaceDN/>
        <w:bidi w:val="0"/>
        <w:spacing w:before="0" w:after="0" w:line="360" w:lineRule="auto"/>
        <w:ind w:firstLine="640" w:firstLineChars="200"/>
        <w:textAlignment w:val="auto"/>
        <w:rPr>
          <w:rStyle w:val="34"/>
          <w:rFonts w:hint="eastAsia" w:ascii="仿宋" w:hAnsi="仿宋" w:eastAsia="仿宋" w:cs="仿宋"/>
          <w:b w:val="0"/>
          <w:bCs w:val="0"/>
          <w:sz w:val="32"/>
          <w:szCs w:val="32"/>
        </w:rPr>
      </w:pPr>
      <w:r>
        <w:rPr>
          <w:rStyle w:val="34"/>
          <w:rFonts w:hint="eastAsia" w:ascii="仿宋" w:hAnsi="仿宋" w:eastAsia="仿宋" w:cs="仿宋"/>
          <w:b w:val="0"/>
          <w:bCs w:val="0"/>
          <w:sz w:val="32"/>
          <w:szCs w:val="32"/>
        </w:rPr>
        <w:t>（2）年度目标2：进一步强化建设市场监管与服务，建设规范有序的建筑市场；推进智能家居之都建设，推进装配式建筑发展，推进海绵城市建设，强化建筑工程质量安全监管（满分1</w:t>
      </w:r>
      <w:r>
        <w:rPr>
          <w:rStyle w:val="34"/>
          <w:rFonts w:hint="eastAsia" w:ascii="仿宋" w:hAnsi="仿宋" w:eastAsia="仿宋" w:cs="仿宋"/>
          <w:b w:val="0"/>
          <w:bCs w:val="0"/>
          <w:sz w:val="32"/>
          <w:szCs w:val="32"/>
          <w:lang w:val="en-US" w:eastAsia="zh-CN"/>
        </w:rPr>
        <w:t>6</w:t>
      </w:r>
      <w:r>
        <w:rPr>
          <w:rStyle w:val="34"/>
          <w:rFonts w:hint="eastAsia" w:ascii="仿宋" w:hAnsi="仿宋" w:eastAsia="仿宋" w:cs="仿宋"/>
          <w:b w:val="0"/>
          <w:bCs w:val="0"/>
          <w:sz w:val="32"/>
          <w:szCs w:val="32"/>
        </w:rPr>
        <w:t>分，得分</w:t>
      </w:r>
      <w:r>
        <w:rPr>
          <w:rStyle w:val="34"/>
          <w:rFonts w:hint="eastAsia" w:ascii="仿宋" w:hAnsi="仿宋" w:eastAsia="仿宋" w:cs="仿宋"/>
          <w:b w:val="0"/>
          <w:bCs w:val="0"/>
          <w:sz w:val="32"/>
          <w:szCs w:val="32"/>
          <w:lang w:val="en-US" w:eastAsia="zh-CN"/>
        </w:rPr>
        <w:t>16</w:t>
      </w:r>
      <w:r>
        <w:rPr>
          <w:rStyle w:val="34"/>
          <w:rFonts w:hint="eastAsia" w:ascii="仿宋" w:hAnsi="仿宋" w:eastAsia="仿宋" w:cs="仿宋"/>
          <w:b w:val="0"/>
          <w:bCs w:val="0"/>
          <w:sz w:val="32"/>
          <w:szCs w:val="32"/>
        </w:rPr>
        <w:t>分）</w:t>
      </w:r>
    </w:p>
    <w:p>
      <w:pPr>
        <w:pageBreakBefore w:val="0"/>
        <w:kinsoku/>
        <w:wordWrap/>
        <w:overflowPunct/>
        <w:topLinePunct w:val="0"/>
        <w:autoSpaceDE/>
        <w:autoSpaceDN/>
        <w:bidi w:val="0"/>
        <w:spacing w:line="360" w:lineRule="auto"/>
        <w:ind w:firstLine="640" w:firstLineChars="200"/>
        <w:textAlignment w:val="auto"/>
        <w:rPr>
          <w:rFonts w:eastAsia="仿宋"/>
          <w:sz w:val="32"/>
          <w:szCs w:val="32"/>
        </w:rPr>
      </w:pPr>
      <w:r>
        <w:rPr>
          <w:rFonts w:eastAsia="仿宋"/>
          <w:sz w:val="32"/>
          <w:szCs w:val="32"/>
        </w:rPr>
        <w:t>产出指标完成情况分析：满分</w:t>
      </w:r>
      <w:r>
        <w:rPr>
          <w:rFonts w:hint="eastAsia" w:eastAsia="仿宋"/>
          <w:sz w:val="32"/>
          <w:szCs w:val="32"/>
          <w:lang w:val="en-US" w:eastAsia="zh-CN"/>
        </w:rPr>
        <w:t>11</w:t>
      </w:r>
      <w:r>
        <w:rPr>
          <w:rFonts w:eastAsia="仿宋"/>
          <w:sz w:val="32"/>
          <w:szCs w:val="32"/>
        </w:rPr>
        <w:t>分，得分</w:t>
      </w:r>
      <w:r>
        <w:rPr>
          <w:rFonts w:hint="eastAsia" w:eastAsia="仿宋"/>
          <w:sz w:val="32"/>
          <w:szCs w:val="32"/>
          <w:lang w:val="en-US" w:eastAsia="zh-CN"/>
        </w:rPr>
        <w:t>11</w:t>
      </w:r>
      <w:r>
        <w:rPr>
          <w:rFonts w:eastAsia="仿宋"/>
          <w:sz w:val="32"/>
          <w:szCs w:val="32"/>
        </w:rPr>
        <w:t>分</w:t>
      </w:r>
    </w:p>
    <w:p>
      <w:pPr>
        <w:pStyle w:val="7"/>
        <w:pageBreakBefore w:val="0"/>
        <w:kinsoku/>
        <w:wordWrap/>
        <w:overflowPunct/>
        <w:topLinePunct w:val="0"/>
        <w:autoSpaceDE/>
        <w:autoSpaceDN/>
        <w:bidi w:val="0"/>
        <w:spacing w:after="0" w:line="360" w:lineRule="auto"/>
        <w:ind w:firstLine="640" w:firstLineChars="200"/>
        <w:textAlignment w:val="auto"/>
        <w:rPr>
          <w:rFonts w:eastAsia="仿宋"/>
          <w:sz w:val="32"/>
          <w:szCs w:val="32"/>
        </w:rPr>
      </w:pPr>
      <w:r>
        <w:rPr>
          <w:rFonts w:eastAsia="仿宋"/>
          <w:sz w:val="32"/>
          <w:szCs w:val="32"/>
        </w:rPr>
        <w:t>①</w:t>
      </w:r>
      <w:r>
        <w:rPr>
          <w:rFonts w:hint="eastAsia" w:eastAsia="仿宋"/>
          <w:sz w:val="32"/>
          <w:szCs w:val="32"/>
          <w:lang w:val="en-US" w:eastAsia="zh-CN"/>
        </w:rPr>
        <w:t>重点</w:t>
      </w:r>
      <w:r>
        <w:rPr>
          <w:rFonts w:hint="eastAsia" w:eastAsia="仿宋"/>
          <w:sz w:val="32"/>
          <w:szCs w:val="32"/>
        </w:rPr>
        <w:t>工程监督抽查到位率1</w:t>
      </w:r>
      <w:r>
        <w:rPr>
          <w:rFonts w:eastAsia="仿宋"/>
          <w:sz w:val="32"/>
          <w:szCs w:val="32"/>
        </w:rPr>
        <w:t>00%</w:t>
      </w:r>
      <w:r>
        <w:rPr>
          <w:rFonts w:hint="eastAsia" w:eastAsia="仿宋"/>
          <w:sz w:val="32"/>
          <w:szCs w:val="32"/>
        </w:rPr>
        <w:t xml:space="preserve"> </w:t>
      </w:r>
      <w:r>
        <w:rPr>
          <w:rFonts w:eastAsia="仿宋"/>
          <w:sz w:val="32"/>
          <w:szCs w:val="32"/>
        </w:rPr>
        <w:t>：满分</w:t>
      </w:r>
      <w:r>
        <w:rPr>
          <w:rFonts w:hint="eastAsia" w:eastAsia="仿宋"/>
          <w:sz w:val="32"/>
          <w:szCs w:val="32"/>
          <w:lang w:val="en-US" w:eastAsia="zh-CN"/>
        </w:rPr>
        <w:t>5</w:t>
      </w:r>
      <w:r>
        <w:rPr>
          <w:rFonts w:eastAsia="仿宋"/>
          <w:sz w:val="32"/>
          <w:szCs w:val="32"/>
        </w:rPr>
        <w:t>分，得分</w:t>
      </w:r>
      <w:r>
        <w:rPr>
          <w:rFonts w:hint="eastAsia" w:eastAsia="仿宋"/>
          <w:sz w:val="32"/>
          <w:szCs w:val="32"/>
          <w:lang w:val="en-US" w:eastAsia="zh-CN"/>
        </w:rPr>
        <w:t>5</w:t>
      </w:r>
      <w:r>
        <w:rPr>
          <w:rFonts w:eastAsia="仿宋"/>
          <w:sz w:val="32"/>
          <w:szCs w:val="32"/>
        </w:rPr>
        <w:t>分</w:t>
      </w:r>
    </w:p>
    <w:p>
      <w:pPr>
        <w:pStyle w:val="7"/>
        <w:pageBreakBefore w:val="0"/>
        <w:kinsoku/>
        <w:wordWrap/>
        <w:overflowPunct/>
        <w:topLinePunct w:val="0"/>
        <w:autoSpaceDE/>
        <w:autoSpaceDN/>
        <w:bidi w:val="0"/>
        <w:spacing w:after="0" w:line="360" w:lineRule="auto"/>
        <w:ind w:firstLine="640" w:firstLineChars="200"/>
        <w:textAlignment w:val="auto"/>
        <w:rPr>
          <w:rFonts w:hint="default" w:eastAsia="仿宋_GB2312"/>
          <w:sz w:val="32"/>
          <w:szCs w:val="32"/>
          <w:lang w:val="en-US" w:eastAsia="zh-CN"/>
        </w:rPr>
      </w:pPr>
      <w:r>
        <w:rPr>
          <w:rFonts w:hint="eastAsia" w:ascii="仿宋_GB2312" w:hAnsi="Calibri" w:eastAsia="仿宋_GB2312"/>
          <w:sz w:val="32"/>
          <w:szCs w:val="32"/>
        </w:rPr>
        <w:t>强化执法监督职能，依法管理行业市场秩序，建设工程和房地产领域专项整治和检查抽查常态开展，查找整改各类具体问题</w:t>
      </w:r>
      <w:r>
        <w:rPr>
          <w:rFonts w:ascii="仿宋_GB2312" w:hAnsi="Calibri" w:eastAsia="仿宋_GB2312"/>
          <w:sz w:val="32"/>
          <w:szCs w:val="32"/>
        </w:rPr>
        <w:t>198个</w:t>
      </w:r>
      <w:r>
        <w:rPr>
          <w:rFonts w:hint="eastAsia" w:ascii="仿宋_GB2312" w:hAnsi="Calibri" w:eastAsia="仿宋_GB2312"/>
          <w:sz w:val="32"/>
          <w:szCs w:val="32"/>
          <w:lang w:val="en-US" w:eastAsia="zh-CN"/>
        </w:rPr>
        <w:t>,重点工程监督抽查到位率达到100%，完成目标。</w:t>
      </w:r>
    </w:p>
    <w:p>
      <w:pPr>
        <w:pStyle w:val="7"/>
        <w:pageBreakBefore w:val="0"/>
        <w:kinsoku/>
        <w:wordWrap/>
        <w:overflowPunct/>
        <w:topLinePunct w:val="0"/>
        <w:autoSpaceDE/>
        <w:autoSpaceDN/>
        <w:bidi w:val="0"/>
        <w:spacing w:after="0" w:line="360" w:lineRule="auto"/>
        <w:ind w:firstLine="640" w:firstLineChars="200"/>
        <w:textAlignment w:val="auto"/>
        <w:rPr>
          <w:rFonts w:eastAsia="仿宋"/>
          <w:sz w:val="32"/>
          <w:szCs w:val="32"/>
        </w:rPr>
      </w:pPr>
      <w:r>
        <w:rPr>
          <w:rFonts w:eastAsia="仿宋"/>
          <w:sz w:val="32"/>
          <w:szCs w:val="32"/>
        </w:rPr>
        <w:t>②</w:t>
      </w:r>
      <w:r>
        <w:rPr>
          <w:rFonts w:hint="eastAsia" w:eastAsia="仿宋"/>
          <w:sz w:val="32"/>
          <w:szCs w:val="32"/>
        </w:rPr>
        <w:t>文明施工获奖工程数</w:t>
      </w:r>
      <w:r>
        <w:rPr>
          <w:rFonts w:eastAsia="仿宋"/>
          <w:sz w:val="32"/>
          <w:szCs w:val="32"/>
        </w:rPr>
        <w:t>：满分2分，得分2分</w:t>
      </w:r>
    </w:p>
    <w:p>
      <w:pPr>
        <w:pStyle w:val="7"/>
        <w:pageBreakBefore w:val="0"/>
        <w:kinsoku/>
        <w:wordWrap/>
        <w:overflowPunct/>
        <w:topLinePunct w:val="0"/>
        <w:autoSpaceDE/>
        <w:autoSpaceDN/>
        <w:bidi w:val="0"/>
        <w:spacing w:after="0" w:line="360" w:lineRule="auto"/>
        <w:ind w:firstLine="640" w:firstLineChars="200"/>
        <w:textAlignment w:val="auto"/>
        <w:rPr>
          <w:rFonts w:hint="eastAsia" w:eastAsia="仿宋"/>
          <w:sz w:val="32"/>
          <w:szCs w:val="32"/>
        </w:rPr>
      </w:pPr>
      <w:r>
        <w:rPr>
          <w:rFonts w:hint="eastAsia" w:eastAsia="仿宋"/>
          <w:sz w:val="32"/>
          <w:szCs w:val="32"/>
        </w:rPr>
        <w:t>目标为文明施工获奖工程数2</w:t>
      </w:r>
      <w:r>
        <w:rPr>
          <w:rFonts w:eastAsia="仿宋"/>
          <w:sz w:val="32"/>
          <w:szCs w:val="32"/>
        </w:rPr>
        <w:t>0</w:t>
      </w:r>
      <w:r>
        <w:rPr>
          <w:rFonts w:hint="eastAsia" w:eastAsia="仿宋"/>
          <w:sz w:val="32"/>
          <w:szCs w:val="32"/>
        </w:rPr>
        <w:t>个，2</w:t>
      </w:r>
      <w:r>
        <w:rPr>
          <w:rFonts w:eastAsia="仿宋"/>
          <w:sz w:val="32"/>
          <w:szCs w:val="32"/>
        </w:rPr>
        <w:t>022</w:t>
      </w:r>
      <w:r>
        <w:rPr>
          <w:rFonts w:hint="eastAsia" w:eastAsia="仿宋"/>
          <w:sz w:val="32"/>
          <w:szCs w:val="32"/>
        </w:rPr>
        <w:t>年</w:t>
      </w:r>
      <w:r>
        <w:rPr>
          <w:rFonts w:hint="eastAsia" w:eastAsia="仿宋"/>
          <w:sz w:val="32"/>
          <w:szCs w:val="32"/>
          <w:lang w:val="en-US" w:eastAsia="zh-CN"/>
        </w:rPr>
        <w:t>区住建局</w:t>
      </w:r>
      <w:r>
        <w:rPr>
          <w:rFonts w:hint="eastAsia" w:eastAsia="仿宋"/>
          <w:sz w:val="32"/>
          <w:szCs w:val="32"/>
        </w:rPr>
        <w:t>常态化从严巡查工地安全文明施工，获评</w:t>
      </w:r>
      <w:r>
        <w:rPr>
          <w:rFonts w:hint="eastAsia" w:eastAsia="仿宋"/>
          <w:sz w:val="32"/>
          <w:szCs w:val="32"/>
          <w:lang w:val="en-US" w:eastAsia="zh-CN"/>
        </w:rPr>
        <w:t>省优质工程6个、国家级优秀工程1个，市政金杯奖1个，省级</w:t>
      </w:r>
      <w:r>
        <w:rPr>
          <w:rFonts w:hint="eastAsia" w:eastAsia="仿宋"/>
          <w:sz w:val="32"/>
          <w:szCs w:val="32"/>
        </w:rPr>
        <w:t>安全文明示范工地</w:t>
      </w:r>
      <w:r>
        <w:rPr>
          <w:rFonts w:hint="eastAsia" w:eastAsia="仿宋"/>
          <w:sz w:val="32"/>
          <w:szCs w:val="32"/>
          <w:lang w:val="en-US" w:eastAsia="zh-CN"/>
        </w:rPr>
        <w:t>12</w:t>
      </w:r>
      <w:r>
        <w:rPr>
          <w:rFonts w:hint="eastAsia" w:eastAsia="仿宋"/>
          <w:sz w:val="32"/>
          <w:szCs w:val="32"/>
        </w:rPr>
        <w:t>个，市级</w:t>
      </w:r>
      <w:r>
        <w:rPr>
          <w:rFonts w:hint="eastAsia" w:eastAsia="仿宋"/>
          <w:sz w:val="32"/>
          <w:szCs w:val="32"/>
          <w:lang w:val="en-US" w:eastAsia="zh-CN"/>
        </w:rPr>
        <w:t>8</w:t>
      </w:r>
      <w:r>
        <w:rPr>
          <w:rFonts w:hint="eastAsia" w:eastAsia="仿宋"/>
          <w:sz w:val="32"/>
          <w:szCs w:val="32"/>
        </w:rPr>
        <w:t>个，共计</w:t>
      </w:r>
      <w:r>
        <w:rPr>
          <w:rFonts w:hint="eastAsia" w:eastAsia="仿宋"/>
          <w:sz w:val="32"/>
          <w:szCs w:val="32"/>
          <w:lang w:val="en-US" w:eastAsia="zh-CN"/>
        </w:rPr>
        <w:t>28</w:t>
      </w:r>
      <w:r>
        <w:rPr>
          <w:rFonts w:hint="eastAsia" w:eastAsia="仿宋"/>
          <w:sz w:val="32"/>
          <w:szCs w:val="32"/>
        </w:rPr>
        <w:t>个，完成目标。</w:t>
      </w:r>
    </w:p>
    <w:p>
      <w:pPr>
        <w:pStyle w:val="7"/>
        <w:keepNext w:val="0"/>
        <w:keepLines w:val="0"/>
        <w:pageBreakBefore w:val="0"/>
        <w:kinsoku/>
        <w:wordWrap/>
        <w:overflowPunct/>
        <w:topLinePunct w:val="0"/>
        <w:autoSpaceDE/>
        <w:autoSpaceDN/>
        <w:bidi w:val="0"/>
        <w:spacing w:after="0" w:line="360" w:lineRule="auto"/>
        <w:ind w:firstLine="640" w:firstLineChars="200"/>
        <w:textAlignment w:val="auto"/>
        <w:rPr>
          <w:rFonts w:eastAsia="仿宋"/>
          <w:sz w:val="32"/>
          <w:szCs w:val="32"/>
        </w:rPr>
      </w:pPr>
      <w:r>
        <w:rPr>
          <w:rFonts w:eastAsia="仿宋"/>
          <w:sz w:val="32"/>
          <w:szCs w:val="32"/>
        </w:rPr>
        <w:t>③</w:t>
      </w:r>
      <w:r>
        <w:rPr>
          <w:rFonts w:hint="eastAsia" w:eastAsia="仿宋"/>
          <w:sz w:val="32"/>
          <w:szCs w:val="32"/>
        </w:rPr>
        <w:t>推进海绵城市建设</w:t>
      </w:r>
      <w:r>
        <w:rPr>
          <w:rFonts w:hint="eastAsia" w:eastAsia="仿宋"/>
          <w:sz w:val="32"/>
          <w:szCs w:val="32"/>
          <w:lang w:val="en-US" w:eastAsia="zh-CN"/>
        </w:rPr>
        <w:t>进度</w:t>
      </w:r>
      <w:r>
        <w:rPr>
          <w:rFonts w:eastAsia="仿宋"/>
          <w:sz w:val="32"/>
          <w:szCs w:val="32"/>
        </w:rPr>
        <w:t>：满分2分，得分2分</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360" w:lineRule="auto"/>
        <w:ind w:firstLine="640" w:firstLineChars="200"/>
        <w:jc w:val="both"/>
        <w:textAlignment w:val="auto"/>
        <w:rPr>
          <w:rFonts w:hint="eastAsia" w:ascii="仿宋_GB2312" w:hAnsi="仿宋_GB2312" w:eastAsia="仿宋_GB2312" w:cs="仿宋_GB2312"/>
          <w:b w:val="0"/>
          <w:color w:val="000000"/>
          <w:kern w:val="2"/>
          <w:sz w:val="32"/>
          <w:szCs w:val="32"/>
          <w:lang w:val="en-US" w:eastAsia="zh-CN" w:bidi="ar-SA"/>
        </w:rPr>
      </w:pPr>
      <w:r>
        <w:rPr>
          <w:rFonts w:hint="eastAsia" w:eastAsia="仿宋"/>
          <w:sz w:val="32"/>
          <w:szCs w:val="32"/>
        </w:rPr>
        <w:t>目标为海绵城市建设推进度1</w:t>
      </w:r>
      <w:r>
        <w:rPr>
          <w:rFonts w:eastAsia="仿宋"/>
          <w:sz w:val="32"/>
          <w:szCs w:val="32"/>
        </w:rPr>
        <w:t>00</w:t>
      </w:r>
      <w:r>
        <w:rPr>
          <w:rFonts w:hint="eastAsia" w:eastAsia="仿宋"/>
          <w:sz w:val="32"/>
          <w:szCs w:val="32"/>
        </w:rPr>
        <w:t>%，</w:t>
      </w:r>
      <w:r>
        <w:rPr>
          <w:rFonts w:hint="default" w:ascii="Times New Roman" w:hAnsi="Times New Roman" w:eastAsia="仿宋_GB2312" w:cs="Times New Roman"/>
          <w:b w:val="0"/>
          <w:color w:val="000000"/>
          <w:kern w:val="2"/>
          <w:sz w:val="32"/>
          <w:szCs w:val="32"/>
          <w:lang w:val="en-US" w:eastAsia="zh-CN" w:bidi="ar-SA"/>
        </w:rPr>
        <w:t>2022</w:t>
      </w:r>
      <w:r>
        <w:rPr>
          <w:rFonts w:hint="eastAsia" w:ascii="仿宋_GB2312" w:hAnsi="仿宋_GB2312" w:eastAsia="仿宋_GB2312" w:cs="仿宋_GB2312"/>
          <w:b w:val="0"/>
          <w:color w:val="000000"/>
          <w:kern w:val="2"/>
          <w:sz w:val="32"/>
          <w:szCs w:val="32"/>
          <w:lang w:val="en-US" w:eastAsia="zh-CN" w:bidi="ar-SA"/>
        </w:rPr>
        <w:t>年计划建成四新直排区、南太子湖汇水区（北子系统）共</w:t>
      </w:r>
      <w:r>
        <w:rPr>
          <w:rFonts w:hint="eastAsia" w:ascii="Times New Roman" w:hAnsi="Times New Roman" w:eastAsia="仿宋_GB2312" w:cs="Times New Roman"/>
          <w:b w:val="0"/>
          <w:color w:val="000000"/>
          <w:kern w:val="2"/>
          <w:sz w:val="32"/>
          <w:szCs w:val="32"/>
          <w:lang w:val="en-US" w:eastAsia="zh-CN" w:bidi="ar-SA"/>
        </w:rPr>
        <w:t>10.7</w:t>
      </w:r>
      <w:r>
        <w:rPr>
          <w:rFonts w:hint="eastAsia" w:ascii="仿宋_GB2312" w:hAnsi="仿宋_GB2312" w:eastAsia="仿宋_GB2312" w:cs="仿宋_GB2312"/>
          <w:b w:val="0"/>
          <w:color w:val="000000"/>
          <w:kern w:val="2"/>
          <w:sz w:val="32"/>
          <w:szCs w:val="32"/>
          <w:lang w:val="en-US" w:eastAsia="zh-CN" w:bidi="ar-SA"/>
        </w:rPr>
        <w:t>平方公里，具体支撑考核目标任务为</w:t>
      </w:r>
      <w:r>
        <w:rPr>
          <w:rFonts w:hint="eastAsia" w:ascii="Times New Roman" w:hAnsi="Times New Roman" w:eastAsia="仿宋_GB2312" w:cs="Times New Roman"/>
          <w:b w:val="0"/>
          <w:color w:val="000000"/>
          <w:kern w:val="2"/>
          <w:sz w:val="32"/>
          <w:szCs w:val="32"/>
          <w:lang w:val="en-US" w:eastAsia="zh-CN" w:bidi="ar-SA"/>
        </w:rPr>
        <w:t>13</w:t>
      </w:r>
      <w:r>
        <w:rPr>
          <w:rFonts w:hint="eastAsia" w:ascii="仿宋_GB2312" w:hAnsi="仿宋_GB2312" w:eastAsia="仿宋_GB2312" w:cs="仿宋_GB2312"/>
          <w:b w:val="0"/>
          <w:color w:val="000000"/>
          <w:kern w:val="2"/>
          <w:sz w:val="32"/>
          <w:szCs w:val="32"/>
          <w:lang w:val="en-US" w:eastAsia="zh-CN" w:bidi="ar-SA"/>
        </w:rPr>
        <w:t>个政府投资海绵项目，计划投资</w:t>
      </w:r>
      <w:r>
        <w:rPr>
          <w:rFonts w:hint="eastAsia" w:ascii="Times New Roman" w:hAnsi="Times New Roman" w:eastAsia="仿宋_GB2312" w:cs="Times New Roman"/>
          <w:b w:val="0"/>
          <w:color w:val="000000"/>
          <w:kern w:val="2"/>
          <w:sz w:val="32"/>
          <w:szCs w:val="32"/>
          <w:lang w:val="en-US" w:eastAsia="zh-CN" w:bidi="ar-SA"/>
        </w:rPr>
        <w:t>11.19</w:t>
      </w:r>
      <w:r>
        <w:rPr>
          <w:rFonts w:hint="eastAsia" w:ascii="仿宋_GB2312" w:hAnsi="仿宋_GB2312" w:eastAsia="仿宋_GB2312" w:cs="仿宋_GB2312"/>
          <w:b w:val="0"/>
          <w:color w:val="000000"/>
          <w:kern w:val="2"/>
          <w:sz w:val="32"/>
          <w:szCs w:val="32"/>
          <w:lang w:val="en-US" w:eastAsia="zh-CN" w:bidi="ar-SA"/>
        </w:rPr>
        <w:t>亿元。所有项目已全部通过市级绩效目标考核。经与市级主管部门对接了解，全市第二，开发区排名第一。</w:t>
      </w:r>
    </w:p>
    <w:p>
      <w:pPr>
        <w:pStyle w:val="7"/>
        <w:pageBreakBefore w:val="0"/>
        <w:kinsoku/>
        <w:wordWrap/>
        <w:overflowPunct/>
        <w:topLinePunct w:val="0"/>
        <w:autoSpaceDE/>
        <w:autoSpaceDN/>
        <w:bidi w:val="0"/>
        <w:spacing w:after="0" w:line="360" w:lineRule="auto"/>
        <w:ind w:firstLine="640" w:firstLineChars="200"/>
        <w:textAlignment w:val="auto"/>
        <w:rPr>
          <w:rFonts w:eastAsia="仿宋"/>
          <w:sz w:val="32"/>
          <w:szCs w:val="32"/>
        </w:rPr>
      </w:pPr>
      <w:r>
        <w:rPr>
          <w:rFonts w:eastAsia="仿宋"/>
          <w:sz w:val="32"/>
          <w:szCs w:val="32"/>
        </w:rPr>
        <w:t>④</w:t>
      </w:r>
      <w:r>
        <w:rPr>
          <w:rFonts w:hint="eastAsia" w:eastAsia="仿宋"/>
          <w:sz w:val="32"/>
          <w:szCs w:val="32"/>
        </w:rPr>
        <w:t>受监工程质量安全责任事故发生数</w:t>
      </w:r>
      <w:r>
        <w:rPr>
          <w:rFonts w:eastAsia="仿宋"/>
          <w:sz w:val="32"/>
          <w:szCs w:val="32"/>
        </w:rPr>
        <w:t>：满分2分，得分2分</w:t>
      </w:r>
    </w:p>
    <w:p>
      <w:pPr>
        <w:pStyle w:val="7"/>
        <w:pageBreakBefore w:val="0"/>
        <w:kinsoku/>
        <w:wordWrap/>
        <w:overflowPunct/>
        <w:topLinePunct w:val="0"/>
        <w:autoSpaceDE/>
        <w:autoSpaceDN/>
        <w:bidi w:val="0"/>
        <w:spacing w:after="0" w:line="360" w:lineRule="auto"/>
        <w:ind w:firstLine="640" w:firstLineChars="200"/>
        <w:textAlignment w:val="auto"/>
        <w:rPr>
          <w:rFonts w:hint="eastAsia" w:eastAsia="仿宋"/>
          <w:sz w:val="32"/>
          <w:szCs w:val="32"/>
        </w:rPr>
      </w:pPr>
      <w:r>
        <w:rPr>
          <w:rFonts w:hint="eastAsia" w:eastAsia="仿宋"/>
          <w:sz w:val="32"/>
          <w:szCs w:val="32"/>
        </w:rPr>
        <w:t>目标为受监工程质量安全责任事故发生数0项，2</w:t>
      </w:r>
      <w:r>
        <w:rPr>
          <w:rFonts w:eastAsia="仿宋"/>
          <w:sz w:val="32"/>
          <w:szCs w:val="32"/>
        </w:rPr>
        <w:t>022</w:t>
      </w:r>
      <w:r>
        <w:rPr>
          <w:rFonts w:hint="eastAsia" w:eastAsia="仿宋"/>
          <w:sz w:val="32"/>
          <w:szCs w:val="32"/>
        </w:rPr>
        <w:t>年区住建局受监工程未发生质量安全责任事故。</w:t>
      </w:r>
    </w:p>
    <w:p>
      <w:pPr>
        <w:pageBreakBefore w:val="0"/>
        <w:kinsoku/>
        <w:wordWrap/>
        <w:overflowPunct/>
        <w:topLinePunct w:val="0"/>
        <w:autoSpaceDE/>
        <w:autoSpaceDN/>
        <w:bidi w:val="0"/>
        <w:spacing w:line="360" w:lineRule="auto"/>
        <w:ind w:firstLine="640" w:firstLineChars="200"/>
        <w:textAlignment w:val="auto"/>
        <w:rPr>
          <w:rFonts w:eastAsia="仿宋"/>
          <w:sz w:val="32"/>
          <w:szCs w:val="32"/>
        </w:rPr>
      </w:pPr>
      <w:r>
        <w:rPr>
          <w:rFonts w:eastAsia="仿宋"/>
          <w:sz w:val="32"/>
          <w:szCs w:val="32"/>
        </w:rPr>
        <w:t>效益指标完成情况分析：满分5分，得分5分</w:t>
      </w:r>
    </w:p>
    <w:p>
      <w:pPr>
        <w:pStyle w:val="7"/>
        <w:pageBreakBefore w:val="0"/>
        <w:kinsoku/>
        <w:wordWrap/>
        <w:overflowPunct/>
        <w:topLinePunct w:val="0"/>
        <w:autoSpaceDE/>
        <w:autoSpaceDN/>
        <w:bidi w:val="0"/>
        <w:spacing w:after="0" w:line="360" w:lineRule="auto"/>
        <w:ind w:firstLine="640" w:firstLineChars="200"/>
        <w:textAlignment w:val="auto"/>
        <w:rPr>
          <w:rFonts w:eastAsia="仿宋"/>
          <w:sz w:val="32"/>
          <w:szCs w:val="32"/>
        </w:rPr>
      </w:pPr>
      <w:r>
        <w:rPr>
          <w:rFonts w:eastAsia="仿宋"/>
          <w:sz w:val="32"/>
          <w:szCs w:val="32"/>
        </w:rPr>
        <w:t>①</w:t>
      </w:r>
      <w:r>
        <w:rPr>
          <w:rFonts w:hint="eastAsia" w:eastAsia="仿宋"/>
          <w:sz w:val="32"/>
          <w:szCs w:val="32"/>
        </w:rPr>
        <w:t>问题整改落实率</w:t>
      </w:r>
      <w:r>
        <w:rPr>
          <w:rFonts w:eastAsia="仿宋"/>
          <w:sz w:val="32"/>
          <w:szCs w:val="32"/>
        </w:rPr>
        <w:t>：满分2</w:t>
      </w:r>
      <w:r>
        <w:rPr>
          <w:rFonts w:hint="eastAsia" w:eastAsia="仿宋"/>
          <w:sz w:val="32"/>
          <w:szCs w:val="32"/>
          <w:lang w:val="en-US" w:eastAsia="zh-CN"/>
        </w:rPr>
        <w:t>.5</w:t>
      </w:r>
      <w:r>
        <w:rPr>
          <w:rFonts w:eastAsia="仿宋"/>
          <w:sz w:val="32"/>
          <w:szCs w:val="32"/>
        </w:rPr>
        <w:t>分，得分2</w:t>
      </w:r>
      <w:r>
        <w:rPr>
          <w:rFonts w:hint="eastAsia" w:eastAsia="仿宋"/>
          <w:sz w:val="32"/>
          <w:szCs w:val="32"/>
          <w:lang w:val="en-US" w:eastAsia="zh-CN"/>
        </w:rPr>
        <w:t>.5</w:t>
      </w:r>
      <w:r>
        <w:rPr>
          <w:rFonts w:eastAsia="仿宋"/>
          <w:sz w:val="32"/>
          <w:szCs w:val="32"/>
        </w:rPr>
        <w:t>分</w:t>
      </w:r>
    </w:p>
    <w:p>
      <w:pPr>
        <w:pStyle w:val="7"/>
        <w:pageBreakBefore w:val="0"/>
        <w:kinsoku/>
        <w:wordWrap/>
        <w:overflowPunct/>
        <w:topLinePunct w:val="0"/>
        <w:autoSpaceDE/>
        <w:autoSpaceDN/>
        <w:bidi w:val="0"/>
        <w:spacing w:after="0" w:line="360" w:lineRule="auto"/>
        <w:ind w:firstLine="640" w:firstLineChars="200"/>
        <w:textAlignment w:val="auto"/>
        <w:rPr>
          <w:rFonts w:hint="eastAsia" w:eastAsia="仿宋"/>
          <w:sz w:val="32"/>
          <w:szCs w:val="32"/>
        </w:rPr>
      </w:pPr>
      <w:r>
        <w:rPr>
          <w:rFonts w:hint="eastAsia" w:eastAsia="仿宋"/>
          <w:sz w:val="32"/>
          <w:szCs w:val="32"/>
        </w:rPr>
        <w:t>目标为问题整改落实率1</w:t>
      </w:r>
      <w:r>
        <w:rPr>
          <w:rFonts w:eastAsia="仿宋"/>
          <w:sz w:val="32"/>
          <w:szCs w:val="32"/>
        </w:rPr>
        <w:t>00%</w:t>
      </w:r>
      <w:r>
        <w:rPr>
          <w:rFonts w:hint="eastAsia" w:eastAsia="仿宋"/>
          <w:sz w:val="32"/>
          <w:szCs w:val="32"/>
        </w:rPr>
        <w:t>，2</w:t>
      </w:r>
      <w:r>
        <w:rPr>
          <w:rFonts w:eastAsia="仿宋"/>
          <w:sz w:val="32"/>
          <w:szCs w:val="32"/>
        </w:rPr>
        <w:t>022</w:t>
      </w:r>
      <w:r>
        <w:rPr>
          <w:rFonts w:hint="eastAsia" w:eastAsia="仿宋"/>
          <w:sz w:val="32"/>
          <w:szCs w:val="32"/>
        </w:rPr>
        <w:t>年</w:t>
      </w:r>
      <w:r>
        <w:rPr>
          <w:rFonts w:hint="eastAsia" w:eastAsia="仿宋"/>
          <w:sz w:val="32"/>
          <w:szCs w:val="32"/>
          <w:lang w:val="en-US" w:eastAsia="zh-CN"/>
        </w:rPr>
        <w:t>区住建局</w:t>
      </w:r>
      <w:r>
        <w:rPr>
          <w:rFonts w:hint="eastAsia" w:eastAsia="仿宋"/>
          <w:sz w:val="32"/>
          <w:szCs w:val="32"/>
        </w:rPr>
        <w:t>对查办的各类违法案件及时办结，问题整改落实率1</w:t>
      </w:r>
      <w:r>
        <w:rPr>
          <w:rFonts w:eastAsia="仿宋"/>
          <w:sz w:val="32"/>
          <w:szCs w:val="32"/>
        </w:rPr>
        <w:t>00%</w:t>
      </w:r>
      <w:r>
        <w:rPr>
          <w:rFonts w:hint="eastAsia" w:eastAsia="仿宋"/>
          <w:sz w:val="32"/>
          <w:szCs w:val="32"/>
        </w:rPr>
        <w:t>，完成目标。</w:t>
      </w:r>
    </w:p>
    <w:p>
      <w:pPr>
        <w:pageBreakBefore w:val="0"/>
        <w:kinsoku/>
        <w:wordWrap/>
        <w:overflowPunct/>
        <w:topLinePunct w:val="0"/>
        <w:autoSpaceDE/>
        <w:autoSpaceDN/>
        <w:bidi w:val="0"/>
        <w:spacing w:line="360" w:lineRule="auto"/>
        <w:ind w:firstLine="640" w:firstLineChars="200"/>
        <w:textAlignment w:val="auto"/>
        <w:rPr>
          <w:rFonts w:eastAsia="仿宋"/>
          <w:sz w:val="32"/>
          <w:szCs w:val="32"/>
        </w:rPr>
      </w:pPr>
      <w:r>
        <w:rPr>
          <w:rFonts w:eastAsia="仿宋"/>
          <w:sz w:val="32"/>
          <w:szCs w:val="32"/>
        </w:rPr>
        <w:t>②</w:t>
      </w:r>
      <w:r>
        <w:rPr>
          <w:rFonts w:hint="eastAsia" w:eastAsia="仿宋"/>
          <w:sz w:val="32"/>
          <w:szCs w:val="32"/>
        </w:rPr>
        <w:t>建筑业可持续发展</w:t>
      </w:r>
      <w:r>
        <w:rPr>
          <w:rFonts w:eastAsia="仿宋"/>
          <w:sz w:val="32"/>
          <w:szCs w:val="32"/>
        </w:rPr>
        <w:t>：满分</w:t>
      </w:r>
      <w:r>
        <w:rPr>
          <w:rFonts w:hint="eastAsia" w:eastAsia="仿宋"/>
          <w:sz w:val="32"/>
          <w:szCs w:val="32"/>
        </w:rPr>
        <w:t>2</w:t>
      </w:r>
      <w:r>
        <w:rPr>
          <w:rFonts w:hint="eastAsia" w:eastAsia="仿宋"/>
          <w:sz w:val="32"/>
          <w:szCs w:val="32"/>
          <w:lang w:val="en-US" w:eastAsia="zh-CN"/>
        </w:rPr>
        <w:t>.5</w:t>
      </w:r>
      <w:r>
        <w:rPr>
          <w:rFonts w:eastAsia="仿宋"/>
          <w:sz w:val="32"/>
          <w:szCs w:val="32"/>
        </w:rPr>
        <w:t>分，得分</w:t>
      </w:r>
      <w:r>
        <w:rPr>
          <w:rFonts w:hint="eastAsia" w:eastAsia="仿宋"/>
          <w:sz w:val="32"/>
          <w:szCs w:val="32"/>
        </w:rPr>
        <w:t>2</w:t>
      </w:r>
      <w:r>
        <w:rPr>
          <w:rFonts w:hint="eastAsia" w:eastAsia="仿宋"/>
          <w:sz w:val="32"/>
          <w:szCs w:val="32"/>
          <w:lang w:val="en-US" w:eastAsia="zh-CN"/>
        </w:rPr>
        <w:t>.5</w:t>
      </w:r>
      <w:r>
        <w:rPr>
          <w:rFonts w:eastAsia="仿宋"/>
          <w:sz w:val="32"/>
          <w:szCs w:val="32"/>
        </w:rPr>
        <w:t>分</w:t>
      </w:r>
    </w:p>
    <w:p>
      <w:pPr>
        <w:pageBreakBefore w:val="0"/>
        <w:kinsoku/>
        <w:wordWrap/>
        <w:overflowPunct/>
        <w:topLinePunct w:val="0"/>
        <w:autoSpaceDE/>
        <w:autoSpaceDN/>
        <w:bidi w:val="0"/>
        <w:spacing w:line="360" w:lineRule="auto"/>
        <w:ind w:firstLine="640" w:firstLineChars="200"/>
        <w:textAlignment w:val="auto"/>
        <w:rPr>
          <w:rFonts w:ascii="仿宋_GB2312" w:hAnsi="Calibri" w:eastAsia="仿宋_GB2312"/>
          <w:sz w:val="32"/>
          <w:szCs w:val="32"/>
        </w:rPr>
      </w:pPr>
      <w:r>
        <w:rPr>
          <w:rFonts w:hint="eastAsia" w:eastAsia="仿宋"/>
          <w:sz w:val="32"/>
          <w:szCs w:val="32"/>
        </w:rPr>
        <w:t>目标为建筑业可持续发展，</w:t>
      </w:r>
      <w:r>
        <w:rPr>
          <w:rFonts w:eastAsia="仿宋"/>
          <w:sz w:val="32"/>
          <w:szCs w:val="32"/>
        </w:rPr>
        <w:t>2022</w:t>
      </w:r>
      <w:r>
        <w:rPr>
          <w:rFonts w:hint="eastAsia" w:eastAsia="仿宋"/>
          <w:sz w:val="32"/>
          <w:szCs w:val="32"/>
        </w:rPr>
        <w:t>年</w:t>
      </w:r>
      <w:r>
        <w:rPr>
          <w:rFonts w:hint="eastAsia" w:eastAsia="仿宋"/>
          <w:sz w:val="32"/>
          <w:szCs w:val="32"/>
          <w:lang w:val="en-US" w:eastAsia="zh-CN"/>
        </w:rPr>
        <w:t>经开区完成</w:t>
      </w:r>
      <w:r>
        <w:rPr>
          <w:rFonts w:hint="eastAsia" w:ascii="仿宋_GB2312" w:hAnsi="Calibri" w:eastAsia="仿宋_GB2312"/>
          <w:sz w:val="32"/>
          <w:szCs w:val="32"/>
        </w:rPr>
        <w:t>建筑业总产值</w:t>
      </w:r>
      <w:r>
        <w:rPr>
          <w:rFonts w:ascii="仿宋_GB2312" w:hAnsi="Calibri" w:eastAsia="仿宋_GB2312"/>
          <w:sz w:val="32"/>
          <w:szCs w:val="32"/>
        </w:rPr>
        <w:t>1450.21亿元，</w:t>
      </w:r>
      <w:r>
        <w:rPr>
          <w:rFonts w:hint="eastAsia" w:ascii="仿宋_GB2312" w:hAnsi="Calibri" w:eastAsia="仿宋_GB2312"/>
          <w:sz w:val="32"/>
          <w:szCs w:val="32"/>
        </w:rPr>
        <w:t>产值规模创区历史新高，同比增长</w:t>
      </w:r>
      <w:r>
        <w:rPr>
          <w:rFonts w:ascii="仿宋_GB2312" w:hAnsi="Calibri" w:eastAsia="仿宋_GB2312"/>
          <w:sz w:val="32"/>
          <w:szCs w:val="32"/>
        </w:rPr>
        <w:t>15.5%，总量和增速全市排名第四</w:t>
      </w:r>
      <w:r>
        <w:rPr>
          <w:rFonts w:hint="eastAsia" w:ascii="仿宋_GB2312" w:hAnsi="Calibri" w:eastAsia="仿宋_GB2312"/>
          <w:sz w:val="32"/>
          <w:szCs w:val="32"/>
        </w:rPr>
        <w:t>；完成建安投资5</w:t>
      </w:r>
      <w:r>
        <w:rPr>
          <w:rFonts w:ascii="仿宋_GB2312" w:hAnsi="Calibri" w:eastAsia="仿宋_GB2312"/>
          <w:sz w:val="32"/>
          <w:szCs w:val="32"/>
        </w:rPr>
        <w:t>70.93</w:t>
      </w:r>
      <w:r>
        <w:rPr>
          <w:rFonts w:hint="eastAsia" w:ascii="仿宋_GB2312" w:hAnsi="Calibri" w:eastAsia="仿宋_GB2312"/>
          <w:sz w:val="32"/>
          <w:szCs w:val="32"/>
        </w:rPr>
        <w:t>亿元，同比增长2</w:t>
      </w:r>
      <w:r>
        <w:rPr>
          <w:rFonts w:ascii="仿宋_GB2312" w:hAnsi="Calibri" w:eastAsia="仿宋_GB2312"/>
          <w:sz w:val="32"/>
          <w:szCs w:val="32"/>
        </w:rPr>
        <w:t>1.8%。</w:t>
      </w:r>
      <w:r>
        <w:rPr>
          <w:rFonts w:hint="eastAsia" w:ascii="仿宋_GB2312" w:hAnsi="Calibri" w:eastAsia="仿宋_GB2312"/>
          <w:sz w:val="32"/>
          <w:szCs w:val="32"/>
        </w:rPr>
        <w:t>武汉建工、市政集团、湖北路桥</w:t>
      </w:r>
      <w:r>
        <w:rPr>
          <w:rFonts w:ascii="仿宋_GB2312" w:hAnsi="Calibri" w:eastAsia="仿宋_GB2312"/>
          <w:sz w:val="32"/>
          <w:szCs w:val="32"/>
        </w:rPr>
        <w:t>3家头部企业年产值均超180亿元，助力稳住经济增长基本盘。新引进产值10亿以上第二梯队企业8家</w:t>
      </w:r>
      <w:r>
        <w:rPr>
          <w:rFonts w:hint="eastAsia" w:ascii="仿宋_GB2312" w:hAnsi="Calibri" w:eastAsia="仿宋_GB2312"/>
          <w:sz w:val="32"/>
          <w:szCs w:val="32"/>
        </w:rPr>
        <w:t>，新增入库纳统中小企业</w:t>
      </w:r>
      <w:r>
        <w:rPr>
          <w:rFonts w:ascii="仿宋_GB2312" w:hAnsi="Calibri" w:eastAsia="仿宋_GB2312"/>
          <w:sz w:val="32"/>
          <w:szCs w:val="32"/>
        </w:rPr>
        <w:t>53家，</w:t>
      </w:r>
      <w:r>
        <w:rPr>
          <w:rFonts w:hint="eastAsia" w:ascii="仿宋_GB2312" w:hAnsi="Calibri" w:eastAsia="仿宋_GB2312"/>
          <w:sz w:val="32"/>
          <w:szCs w:val="32"/>
        </w:rPr>
        <w:t>申报省楚天杯示范工地</w:t>
      </w:r>
      <w:r>
        <w:rPr>
          <w:rFonts w:ascii="仿宋_GB2312" w:hAnsi="Calibri" w:eastAsia="仿宋_GB2312"/>
          <w:sz w:val="32"/>
          <w:szCs w:val="32"/>
        </w:rPr>
        <w:t>12个、市黄鹤杯示范工地6个。</w:t>
      </w:r>
      <w:r>
        <w:rPr>
          <w:rFonts w:hint="eastAsia" w:ascii="仿宋_GB2312" w:hAnsi="Calibri" w:eastAsia="仿宋_GB2312"/>
          <w:sz w:val="32"/>
          <w:szCs w:val="32"/>
        </w:rPr>
        <w:t xml:space="preserve"> 有效保障辖区促进建筑业可持续发展，完成目标。</w:t>
      </w:r>
    </w:p>
    <w:p>
      <w:pPr>
        <w:pStyle w:val="4"/>
        <w:pageBreakBefore w:val="0"/>
        <w:kinsoku/>
        <w:wordWrap/>
        <w:overflowPunct/>
        <w:topLinePunct w:val="0"/>
        <w:autoSpaceDE/>
        <w:autoSpaceDN/>
        <w:bidi w:val="0"/>
        <w:spacing w:before="0" w:after="0" w:line="360" w:lineRule="auto"/>
        <w:ind w:firstLine="640" w:firstLineChars="200"/>
        <w:textAlignment w:val="auto"/>
        <w:rPr>
          <w:rStyle w:val="34"/>
          <w:rFonts w:hint="eastAsia" w:ascii="仿宋" w:hAnsi="仿宋" w:eastAsia="仿宋" w:cs="仿宋"/>
          <w:b w:val="0"/>
          <w:bCs w:val="0"/>
          <w:sz w:val="32"/>
          <w:szCs w:val="32"/>
        </w:rPr>
      </w:pPr>
      <w:r>
        <w:rPr>
          <w:rStyle w:val="34"/>
          <w:rFonts w:hint="eastAsia" w:ascii="仿宋" w:hAnsi="仿宋" w:eastAsia="仿宋" w:cs="仿宋"/>
          <w:b w:val="0"/>
          <w:bCs w:val="0"/>
          <w:sz w:val="32"/>
          <w:szCs w:val="32"/>
        </w:rPr>
        <w:t>（3）年度目标3：进一步推进住房保障建设，不断完善房产管理规范化；切实加强房地产市场宏观调控工作，切实加强住宅小区物业管理工作，切实加强住房保障工作。（满分</w:t>
      </w:r>
      <w:r>
        <w:rPr>
          <w:rStyle w:val="34"/>
          <w:rFonts w:hint="eastAsia" w:ascii="仿宋" w:hAnsi="仿宋" w:eastAsia="仿宋" w:cs="仿宋"/>
          <w:b w:val="0"/>
          <w:bCs w:val="0"/>
          <w:sz w:val="32"/>
          <w:szCs w:val="32"/>
          <w:lang w:val="en-US" w:eastAsia="zh-CN"/>
        </w:rPr>
        <w:t>16</w:t>
      </w:r>
      <w:r>
        <w:rPr>
          <w:rStyle w:val="34"/>
          <w:rFonts w:hint="eastAsia" w:ascii="仿宋" w:hAnsi="仿宋" w:eastAsia="仿宋" w:cs="仿宋"/>
          <w:b w:val="0"/>
          <w:bCs w:val="0"/>
          <w:sz w:val="32"/>
          <w:szCs w:val="32"/>
        </w:rPr>
        <w:t>分，得分</w:t>
      </w:r>
      <w:r>
        <w:rPr>
          <w:rStyle w:val="34"/>
          <w:rFonts w:hint="eastAsia" w:ascii="仿宋" w:hAnsi="仿宋" w:eastAsia="仿宋" w:cs="仿宋"/>
          <w:b w:val="0"/>
          <w:bCs w:val="0"/>
          <w:sz w:val="32"/>
          <w:szCs w:val="32"/>
          <w:lang w:val="en-US" w:eastAsia="zh-CN"/>
        </w:rPr>
        <w:t>16</w:t>
      </w:r>
      <w:r>
        <w:rPr>
          <w:rStyle w:val="34"/>
          <w:rFonts w:hint="eastAsia" w:ascii="仿宋" w:hAnsi="仿宋" w:eastAsia="仿宋" w:cs="仿宋"/>
          <w:b w:val="0"/>
          <w:bCs w:val="0"/>
          <w:sz w:val="32"/>
          <w:szCs w:val="32"/>
        </w:rPr>
        <w:t>分）</w:t>
      </w:r>
    </w:p>
    <w:p>
      <w:pPr>
        <w:pageBreakBefore w:val="0"/>
        <w:kinsoku/>
        <w:wordWrap/>
        <w:overflowPunct/>
        <w:topLinePunct w:val="0"/>
        <w:autoSpaceDE/>
        <w:autoSpaceDN/>
        <w:bidi w:val="0"/>
        <w:spacing w:line="360" w:lineRule="auto"/>
        <w:ind w:firstLine="640" w:firstLineChars="200"/>
        <w:textAlignment w:val="auto"/>
        <w:rPr>
          <w:rFonts w:eastAsia="仿宋"/>
          <w:sz w:val="32"/>
          <w:szCs w:val="32"/>
        </w:rPr>
      </w:pPr>
      <w:r>
        <w:rPr>
          <w:rFonts w:eastAsia="仿宋"/>
          <w:sz w:val="32"/>
          <w:szCs w:val="32"/>
        </w:rPr>
        <w:t>产出指标完成情况分析：满分1</w:t>
      </w:r>
      <w:r>
        <w:rPr>
          <w:rFonts w:hint="eastAsia" w:eastAsia="仿宋"/>
          <w:sz w:val="32"/>
          <w:szCs w:val="32"/>
          <w:lang w:val="en-US" w:eastAsia="zh-CN"/>
        </w:rPr>
        <w:t>2</w:t>
      </w:r>
      <w:r>
        <w:rPr>
          <w:rFonts w:eastAsia="仿宋"/>
          <w:sz w:val="32"/>
          <w:szCs w:val="32"/>
        </w:rPr>
        <w:t>分，得分</w:t>
      </w:r>
      <w:r>
        <w:rPr>
          <w:rFonts w:hint="eastAsia" w:eastAsia="仿宋"/>
          <w:sz w:val="32"/>
          <w:szCs w:val="32"/>
          <w:lang w:val="en-US" w:eastAsia="zh-CN"/>
        </w:rPr>
        <w:t>11</w:t>
      </w:r>
      <w:r>
        <w:rPr>
          <w:rFonts w:eastAsia="仿宋"/>
          <w:sz w:val="32"/>
          <w:szCs w:val="32"/>
        </w:rPr>
        <w:t>分</w:t>
      </w:r>
    </w:p>
    <w:p>
      <w:pPr>
        <w:keepNext/>
        <w:pageBreakBefore w:val="0"/>
        <w:kinsoku/>
        <w:wordWrap/>
        <w:overflowPunct/>
        <w:topLinePunct w:val="0"/>
        <w:autoSpaceDE/>
        <w:autoSpaceDN/>
        <w:bidi w:val="0"/>
        <w:spacing w:line="360" w:lineRule="auto"/>
        <w:ind w:firstLine="640" w:firstLineChars="200"/>
        <w:textAlignment w:val="auto"/>
        <w:rPr>
          <w:rFonts w:eastAsia="仿宋"/>
          <w:sz w:val="32"/>
          <w:szCs w:val="32"/>
        </w:rPr>
      </w:pPr>
      <w:r>
        <w:rPr>
          <w:rFonts w:eastAsia="仿宋"/>
          <w:sz w:val="32"/>
          <w:szCs w:val="32"/>
        </w:rPr>
        <w:t>①</w:t>
      </w:r>
      <w:r>
        <w:rPr>
          <w:rFonts w:hint="eastAsia" w:eastAsia="仿宋"/>
          <w:sz w:val="32"/>
          <w:szCs w:val="32"/>
        </w:rPr>
        <w:t>保障房目标达标率</w:t>
      </w:r>
      <w:r>
        <w:rPr>
          <w:rFonts w:eastAsia="仿宋"/>
          <w:sz w:val="32"/>
          <w:szCs w:val="32"/>
        </w:rPr>
        <w:t>：满分</w:t>
      </w:r>
      <w:r>
        <w:rPr>
          <w:rFonts w:hint="eastAsia" w:eastAsia="仿宋"/>
          <w:sz w:val="32"/>
          <w:szCs w:val="32"/>
          <w:lang w:val="en-US" w:eastAsia="zh-CN"/>
        </w:rPr>
        <w:t>4</w:t>
      </w:r>
      <w:r>
        <w:rPr>
          <w:rFonts w:eastAsia="仿宋"/>
          <w:sz w:val="32"/>
          <w:szCs w:val="32"/>
        </w:rPr>
        <w:t>分，得分</w:t>
      </w:r>
      <w:r>
        <w:rPr>
          <w:rFonts w:hint="eastAsia" w:eastAsia="仿宋"/>
          <w:sz w:val="32"/>
          <w:szCs w:val="32"/>
          <w:lang w:val="en-US" w:eastAsia="zh-CN"/>
        </w:rPr>
        <w:t>4</w:t>
      </w:r>
      <w:r>
        <w:rPr>
          <w:rFonts w:eastAsia="仿宋"/>
          <w:sz w:val="32"/>
          <w:szCs w:val="32"/>
        </w:rPr>
        <w:t>分</w:t>
      </w:r>
    </w:p>
    <w:p>
      <w:pPr>
        <w:pageBreakBefore w:val="0"/>
        <w:kinsoku/>
        <w:wordWrap/>
        <w:overflowPunct/>
        <w:topLinePunct w:val="0"/>
        <w:autoSpaceDE/>
        <w:autoSpaceDN/>
        <w:bidi w:val="0"/>
        <w:spacing w:line="360" w:lineRule="auto"/>
        <w:ind w:firstLine="640" w:firstLineChars="200"/>
        <w:textAlignment w:val="auto"/>
        <w:rPr>
          <w:rFonts w:hint="eastAsia" w:ascii="仿宋_GB2312" w:eastAsia="仿宋_GB2312" w:cs="仿宋_GB2312"/>
          <w:sz w:val="32"/>
          <w:szCs w:val="32"/>
        </w:rPr>
      </w:pPr>
      <w:r>
        <w:rPr>
          <w:rFonts w:hint="eastAsia" w:ascii="仿宋_GB2312" w:hAnsi="楷体_GB2312" w:eastAsia="仿宋_GB2312"/>
          <w:sz w:val="32"/>
          <w:szCs w:val="21"/>
        </w:rPr>
        <w:t>目标为保障房目标达标率1</w:t>
      </w:r>
      <w:r>
        <w:rPr>
          <w:rFonts w:ascii="仿宋_GB2312" w:hAnsi="楷体_GB2312" w:eastAsia="仿宋_GB2312"/>
          <w:sz w:val="32"/>
          <w:szCs w:val="21"/>
        </w:rPr>
        <w:t>00%</w:t>
      </w:r>
      <w:r>
        <w:rPr>
          <w:rFonts w:hint="eastAsia" w:ascii="仿宋_GB2312" w:hAnsi="楷体_GB2312" w:eastAsia="仿宋_GB2312"/>
          <w:sz w:val="32"/>
          <w:szCs w:val="21"/>
        </w:rPr>
        <w:t>，</w:t>
      </w:r>
      <w:r>
        <w:rPr>
          <w:rFonts w:hint="eastAsia" w:ascii="仿宋_GB2312" w:hAnsi="楷体_GB2312" w:eastAsia="仿宋_GB2312"/>
          <w:sz w:val="32"/>
          <w:szCs w:val="21"/>
          <w:lang w:eastAsia="zh-CN"/>
        </w:rPr>
        <w:t>区住建局</w:t>
      </w:r>
      <w:r>
        <w:rPr>
          <w:rFonts w:hint="eastAsia" w:ascii="仿宋_GB2312" w:eastAsia="仿宋_GB2312" w:cs="仿宋_GB2312"/>
          <w:sz w:val="32"/>
          <w:szCs w:val="32"/>
        </w:rPr>
        <w:t>依托保交楼专项借款，稳妥推进</w:t>
      </w:r>
      <w:r>
        <w:rPr>
          <w:rFonts w:ascii="仿宋_GB2312" w:eastAsia="仿宋_GB2312" w:cs="仿宋_GB2312"/>
          <w:sz w:val="32"/>
          <w:szCs w:val="32"/>
        </w:rPr>
        <w:t>7个重点监管及停工降效商品房项目复工，</w:t>
      </w:r>
      <w:r>
        <w:rPr>
          <w:rFonts w:hint="eastAsia" w:ascii="仿宋_GB2312" w:eastAsia="仿宋_GB2312" w:cs="仿宋_GB2312"/>
          <w:sz w:val="32"/>
          <w:szCs w:val="32"/>
        </w:rPr>
        <w:t>2022年</w:t>
      </w:r>
      <w:r>
        <w:rPr>
          <w:rFonts w:ascii="仿宋_GB2312" w:eastAsia="仿宋_GB2312" w:cs="仿宋_GB2312"/>
          <w:sz w:val="32"/>
          <w:szCs w:val="32"/>
        </w:rPr>
        <w:t>完成交房总计2894套</w:t>
      </w:r>
      <w:r>
        <w:rPr>
          <w:rFonts w:hint="eastAsia" w:ascii="仿宋_GB2312" w:eastAsia="仿宋_GB2312" w:cs="仿宋_GB2312"/>
          <w:sz w:val="32"/>
          <w:szCs w:val="32"/>
        </w:rPr>
        <w:t>。创新住房保障举措，落实保障性租赁房</w:t>
      </w:r>
      <w:r>
        <w:rPr>
          <w:rFonts w:ascii="仿宋_GB2312" w:eastAsia="仿宋_GB2312" w:cs="仿宋_GB2312"/>
          <w:sz w:val="32"/>
          <w:szCs w:val="32"/>
        </w:rPr>
        <w:t>5376</w:t>
      </w:r>
      <w:r>
        <w:rPr>
          <w:rFonts w:hint="eastAsia" w:ascii="仿宋_GB2312" w:eastAsia="仿宋_GB2312" w:cs="仿宋_GB2312"/>
          <w:sz w:val="32"/>
          <w:szCs w:val="32"/>
        </w:rPr>
        <w:t>套，全市排名第五、开发区排名第二。筹集大学生租赁房源1280套。住房分配货币化保障全部落实，春笋优秀人才租房、购房补贴</w:t>
      </w:r>
      <w:r>
        <w:rPr>
          <w:rFonts w:ascii="仿宋_GB2312" w:eastAsia="仿宋_GB2312" w:cs="仿宋_GB2312"/>
          <w:sz w:val="32"/>
          <w:szCs w:val="32"/>
        </w:rPr>
        <w:t>600万元</w:t>
      </w:r>
      <w:r>
        <w:rPr>
          <w:rFonts w:hint="eastAsia" w:ascii="仿宋_GB2312" w:eastAsia="仿宋_GB2312" w:cs="仿宋_GB2312"/>
          <w:sz w:val="32"/>
          <w:szCs w:val="32"/>
        </w:rPr>
        <w:t>，收购“两房打通”试点房源</w:t>
      </w:r>
      <w:r>
        <w:rPr>
          <w:rFonts w:ascii="仿宋_GB2312" w:eastAsia="仿宋_GB2312" w:cs="仿宋_GB2312"/>
          <w:sz w:val="32"/>
          <w:szCs w:val="32"/>
        </w:rPr>
        <w:t>2746套。</w:t>
      </w:r>
    </w:p>
    <w:p>
      <w:pPr>
        <w:keepNext/>
        <w:pageBreakBefore w:val="0"/>
        <w:kinsoku/>
        <w:wordWrap/>
        <w:overflowPunct/>
        <w:topLinePunct w:val="0"/>
        <w:autoSpaceDE/>
        <w:autoSpaceDN/>
        <w:bidi w:val="0"/>
        <w:spacing w:line="360" w:lineRule="auto"/>
        <w:ind w:firstLine="640" w:firstLineChars="200"/>
        <w:textAlignment w:val="auto"/>
        <w:rPr>
          <w:rFonts w:eastAsia="仿宋"/>
          <w:sz w:val="32"/>
          <w:szCs w:val="32"/>
        </w:rPr>
      </w:pPr>
      <w:r>
        <w:rPr>
          <w:rFonts w:hint="eastAsia" w:ascii="宋体" w:hAnsi="宋体" w:cs="宋体"/>
          <w:sz w:val="32"/>
          <w:szCs w:val="32"/>
        </w:rPr>
        <w:t>②</w:t>
      </w:r>
      <w:r>
        <w:rPr>
          <w:rFonts w:hint="eastAsia" w:eastAsia="仿宋"/>
          <w:sz w:val="32"/>
          <w:szCs w:val="32"/>
          <w:lang w:val="en-US" w:eastAsia="zh-CN"/>
        </w:rPr>
        <w:t>保</w:t>
      </w:r>
      <w:r>
        <w:rPr>
          <w:rFonts w:hint="eastAsia" w:eastAsia="仿宋"/>
          <w:sz w:val="32"/>
          <w:szCs w:val="32"/>
        </w:rPr>
        <w:t>租房保障机制落实率：满</w:t>
      </w:r>
      <w:r>
        <w:rPr>
          <w:rFonts w:eastAsia="仿宋"/>
          <w:sz w:val="32"/>
          <w:szCs w:val="32"/>
        </w:rPr>
        <w:t>分</w:t>
      </w:r>
      <w:r>
        <w:rPr>
          <w:rFonts w:hint="eastAsia" w:eastAsia="仿宋"/>
          <w:sz w:val="32"/>
          <w:szCs w:val="32"/>
          <w:lang w:val="en-US" w:eastAsia="zh-CN"/>
        </w:rPr>
        <w:t>4</w:t>
      </w:r>
      <w:r>
        <w:rPr>
          <w:rFonts w:eastAsia="仿宋"/>
          <w:sz w:val="32"/>
          <w:szCs w:val="32"/>
        </w:rPr>
        <w:t>分，得分</w:t>
      </w:r>
      <w:r>
        <w:rPr>
          <w:rFonts w:hint="eastAsia" w:eastAsia="仿宋"/>
          <w:sz w:val="32"/>
          <w:szCs w:val="32"/>
          <w:lang w:val="en-US" w:eastAsia="zh-CN"/>
        </w:rPr>
        <w:t>3</w:t>
      </w:r>
      <w:r>
        <w:rPr>
          <w:rFonts w:eastAsia="仿宋"/>
          <w:sz w:val="32"/>
          <w:szCs w:val="32"/>
        </w:rPr>
        <w:t>分</w:t>
      </w:r>
    </w:p>
    <w:p>
      <w:pPr>
        <w:pageBreakBefore w:val="0"/>
        <w:kinsoku/>
        <w:wordWrap/>
        <w:overflowPunct/>
        <w:topLinePunct w:val="0"/>
        <w:autoSpaceDE/>
        <w:autoSpaceDN/>
        <w:bidi w:val="0"/>
        <w:spacing w:line="360" w:lineRule="auto"/>
        <w:ind w:firstLine="640" w:firstLineChars="200"/>
        <w:textAlignment w:val="auto"/>
        <w:rPr>
          <w:rFonts w:hint="eastAsia" w:ascii="仿宋_GB2312" w:hAnsi="楷体_GB2312" w:eastAsia="仿宋_GB2312"/>
          <w:sz w:val="32"/>
          <w:szCs w:val="21"/>
        </w:rPr>
      </w:pPr>
      <w:r>
        <w:rPr>
          <w:rFonts w:hint="eastAsia" w:ascii="仿宋_GB2312" w:hAnsi="楷体_GB2312" w:eastAsia="仿宋_GB2312"/>
          <w:sz w:val="32"/>
          <w:szCs w:val="21"/>
        </w:rPr>
        <w:t>目标为</w:t>
      </w:r>
      <w:r>
        <w:rPr>
          <w:rFonts w:hint="eastAsia" w:ascii="仿宋_GB2312" w:hAnsi="楷体_GB2312" w:eastAsia="仿宋_GB2312"/>
          <w:sz w:val="32"/>
          <w:szCs w:val="21"/>
          <w:lang w:val="en-US" w:eastAsia="zh-CN"/>
        </w:rPr>
        <w:t>保</w:t>
      </w:r>
      <w:r>
        <w:rPr>
          <w:rFonts w:hint="eastAsia" w:ascii="仿宋_GB2312" w:hAnsi="楷体_GB2312" w:eastAsia="仿宋_GB2312"/>
          <w:sz w:val="32"/>
          <w:szCs w:val="21"/>
        </w:rPr>
        <w:t>租房保障机制落实率</w:t>
      </w:r>
      <w:r>
        <w:rPr>
          <w:rFonts w:ascii="仿宋_GB2312" w:hAnsi="楷体_GB2312" w:eastAsia="仿宋_GB2312"/>
          <w:sz w:val="32"/>
          <w:szCs w:val="21"/>
        </w:rPr>
        <w:t>100%</w:t>
      </w:r>
      <w:r>
        <w:rPr>
          <w:rFonts w:hint="eastAsia" w:ascii="仿宋_GB2312" w:hAnsi="楷体_GB2312" w:eastAsia="仿宋_GB2312"/>
          <w:sz w:val="32"/>
          <w:szCs w:val="21"/>
        </w:rPr>
        <w:t>，</w:t>
      </w:r>
      <w:r>
        <w:rPr>
          <w:rFonts w:hint="eastAsia" w:ascii="Times New Roman" w:hAnsi="Times New Roman" w:eastAsia="仿宋" w:cs="Times New Roman"/>
          <w:sz w:val="32"/>
          <w:szCs w:val="32"/>
          <w:highlight w:val="none"/>
          <w:lang w:val="en-US" w:eastAsia="zh-CN"/>
        </w:rPr>
        <w:t>省市相继出台政策文件，加快推进保障性租赁住房建设，用于加快解决从事基本公共服务人员、新市民及新青年住房困难问题，推动实现住有所居住。</w:t>
      </w:r>
      <w:r>
        <w:rPr>
          <w:rFonts w:hint="eastAsia" w:ascii="仿宋_GB2312" w:hAnsi="楷体_GB2312" w:eastAsia="仿宋_GB2312"/>
          <w:sz w:val="32"/>
          <w:szCs w:val="21"/>
          <w:lang w:val="en-US" w:eastAsia="zh-CN"/>
        </w:rPr>
        <w:t>但经开区整体实施</w:t>
      </w:r>
      <w:r>
        <w:rPr>
          <w:rFonts w:hint="eastAsia" w:ascii="仿宋_GB2312" w:hAnsi="楷体_GB2312" w:eastAsia="仿宋_GB2312"/>
          <w:sz w:val="32"/>
          <w:szCs w:val="21"/>
        </w:rPr>
        <w:t>进度较慢，目前经开区投入</w:t>
      </w:r>
      <w:r>
        <w:rPr>
          <w:rFonts w:hint="eastAsia" w:ascii="仿宋_GB2312" w:hAnsi="楷体_GB2312" w:eastAsia="仿宋_GB2312"/>
          <w:sz w:val="32"/>
          <w:szCs w:val="21"/>
          <w:lang w:val="en-US" w:eastAsia="zh-CN"/>
        </w:rPr>
        <w:t>保租房</w:t>
      </w:r>
      <w:r>
        <w:rPr>
          <w:rFonts w:hint="eastAsia" w:ascii="仿宋_GB2312" w:hAnsi="楷体_GB2312" w:eastAsia="仿宋_GB2312"/>
          <w:sz w:val="32"/>
          <w:szCs w:val="21"/>
        </w:rPr>
        <w:t>房源</w:t>
      </w:r>
      <w:r>
        <w:rPr>
          <w:rFonts w:hint="eastAsia" w:ascii="仿宋_GB2312" w:hAnsi="楷体_GB2312" w:eastAsia="仿宋_GB2312"/>
          <w:sz w:val="32"/>
          <w:szCs w:val="21"/>
          <w:lang w:val="en-US" w:eastAsia="zh-CN"/>
        </w:rPr>
        <w:t>有限</w:t>
      </w:r>
      <w:r>
        <w:rPr>
          <w:rFonts w:hint="eastAsia" w:ascii="仿宋_GB2312" w:hAnsi="楷体_GB2312" w:eastAsia="仿宋_GB2312"/>
          <w:sz w:val="32"/>
          <w:szCs w:val="21"/>
        </w:rPr>
        <w:t>，</w:t>
      </w:r>
      <w:r>
        <w:rPr>
          <w:rFonts w:hint="eastAsia" w:ascii="仿宋_GB2312" w:hAnsi="楷体_GB2312" w:eastAsia="仿宋_GB2312"/>
          <w:sz w:val="32"/>
          <w:szCs w:val="21"/>
          <w:lang w:val="en-US" w:eastAsia="zh-CN"/>
        </w:rPr>
        <w:t>保障机制有待进一步完善。</w:t>
      </w:r>
      <w:r>
        <w:rPr>
          <w:rFonts w:ascii="仿宋_GB2312" w:hAnsi="楷体_GB2312" w:eastAsia="仿宋_GB2312"/>
          <w:sz w:val="32"/>
          <w:szCs w:val="21"/>
        </w:rPr>
        <w:t xml:space="preserve"> </w:t>
      </w:r>
    </w:p>
    <w:p>
      <w:pPr>
        <w:pageBreakBefore w:val="0"/>
        <w:kinsoku/>
        <w:wordWrap/>
        <w:overflowPunct/>
        <w:topLinePunct w:val="0"/>
        <w:autoSpaceDE/>
        <w:autoSpaceDN/>
        <w:bidi w:val="0"/>
        <w:spacing w:line="360" w:lineRule="auto"/>
        <w:ind w:firstLine="640" w:firstLineChars="200"/>
        <w:textAlignment w:val="auto"/>
        <w:rPr>
          <w:rFonts w:eastAsia="仿宋"/>
          <w:sz w:val="32"/>
          <w:szCs w:val="32"/>
        </w:rPr>
      </w:pPr>
      <w:r>
        <w:rPr>
          <w:rFonts w:eastAsia="仿宋"/>
          <w:sz w:val="32"/>
          <w:szCs w:val="32"/>
        </w:rPr>
        <w:t>③</w:t>
      </w:r>
      <w:r>
        <w:rPr>
          <w:rFonts w:hint="eastAsia" w:eastAsia="仿宋"/>
          <w:sz w:val="32"/>
          <w:szCs w:val="32"/>
        </w:rPr>
        <w:t>房地产经纪机构备案率提升度</w:t>
      </w:r>
      <w:r>
        <w:rPr>
          <w:rFonts w:eastAsia="仿宋"/>
          <w:sz w:val="32"/>
          <w:szCs w:val="32"/>
        </w:rPr>
        <w:t>：满分</w:t>
      </w:r>
      <w:r>
        <w:rPr>
          <w:rFonts w:hint="eastAsia" w:eastAsia="仿宋"/>
          <w:sz w:val="32"/>
          <w:szCs w:val="32"/>
          <w:lang w:val="en-US" w:eastAsia="zh-CN"/>
        </w:rPr>
        <w:t>4</w:t>
      </w:r>
      <w:r>
        <w:rPr>
          <w:rFonts w:eastAsia="仿宋"/>
          <w:sz w:val="32"/>
          <w:szCs w:val="32"/>
        </w:rPr>
        <w:t>分，得分</w:t>
      </w:r>
      <w:r>
        <w:rPr>
          <w:rFonts w:hint="eastAsia" w:eastAsia="仿宋"/>
          <w:sz w:val="32"/>
          <w:szCs w:val="32"/>
          <w:lang w:val="en-US" w:eastAsia="zh-CN"/>
        </w:rPr>
        <w:t>4</w:t>
      </w:r>
      <w:r>
        <w:rPr>
          <w:rFonts w:eastAsia="仿宋"/>
          <w:sz w:val="32"/>
          <w:szCs w:val="32"/>
        </w:rPr>
        <w:t>分</w:t>
      </w:r>
    </w:p>
    <w:p>
      <w:pPr>
        <w:pageBreakBefore w:val="0"/>
        <w:kinsoku/>
        <w:wordWrap/>
        <w:overflowPunct/>
        <w:topLinePunct w:val="0"/>
        <w:autoSpaceDE/>
        <w:autoSpaceDN/>
        <w:bidi w:val="0"/>
        <w:spacing w:line="360" w:lineRule="auto"/>
        <w:ind w:firstLine="640" w:firstLineChars="200"/>
        <w:textAlignment w:val="auto"/>
        <w:rPr>
          <w:rFonts w:hint="eastAsia" w:eastAsia="仿宋"/>
          <w:sz w:val="32"/>
          <w:szCs w:val="32"/>
        </w:rPr>
      </w:pPr>
      <w:r>
        <w:rPr>
          <w:rFonts w:hint="eastAsia" w:eastAsia="仿宋"/>
          <w:sz w:val="32"/>
          <w:szCs w:val="32"/>
        </w:rPr>
        <w:t>目标为房地产经纪机构备案提升度1</w:t>
      </w:r>
      <w:r>
        <w:rPr>
          <w:rFonts w:eastAsia="仿宋"/>
          <w:sz w:val="32"/>
          <w:szCs w:val="32"/>
        </w:rPr>
        <w:t>00%</w:t>
      </w:r>
      <w:r>
        <w:rPr>
          <w:rFonts w:hint="eastAsia" w:eastAsia="仿宋"/>
          <w:sz w:val="32"/>
          <w:szCs w:val="32"/>
        </w:rPr>
        <w:t>，2</w:t>
      </w:r>
      <w:r>
        <w:rPr>
          <w:rFonts w:eastAsia="仿宋"/>
          <w:sz w:val="32"/>
          <w:szCs w:val="32"/>
        </w:rPr>
        <w:t>022</w:t>
      </w:r>
      <w:r>
        <w:rPr>
          <w:rFonts w:hint="eastAsia" w:eastAsia="仿宋"/>
          <w:sz w:val="32"/>
          <w:szCs w:val="32"/>
        </w:rPr>
        <w:t>年</w:t>
      </w:r>
      <w:r>
        <w:rPr>
          <w:rFonts w:hint="eastAsia" w:eastAsia="仿宋"/>
          <w:sz w:val="32"/>
          <w:szCs w:val="32"/>
          <w:lang w:eastAsia="zh-CN"/>
        </w:rPr>
        <w:t>区住建局</w:t>
      </w:r>
      <w:r>
        <w:rPr>
          <w:rFonts w:hint="eastAsia" w:eastAsia="仿宋"/>
          <w:sz w:val="32"/>
          <w:szCs w:val="32"/>
        </w:rPr>
        <w:t>持续提高房地产经纪机构备案率，办理房地产经纪机构备案3</w:t>
      </w:r>
      <w:r>
        <w:rPr>
          <w:rFonts w:eastAsia="仿宋"/>
          <w:sz w:val="32"/>
          <w:szCs w:val="32"/>
        </w:rPr>
        <w:t>0</w:t>
      </w:r>
      <w:r>
        <w:rPr>
          <w:rFonts w:hint="eastAsia" w:eastAsia="仿宋"/>
          <w:sz w:val="32"/>
          <w:szCs w:val="32"/>
        </w:rPr>
        <w:t>家，组织开展存量房交易网签系统办理房屋交易手续。完成目标。</w:t>
      </w:r>
    </w:p>
    <w:p>
      <w:pPr>
        <w:pageBreakBefore w:val="0"/>
        <w:kinsoku/>
        <w:wordWrap/>
        <w:overflowPunct/>
        <w:topLinePunct w:val="0"/>
        <w:autoSpaceDE/>
        <w:autoSpaceDN/>
        <w:bidi w:val="0"/>
        <w:spacing w:line="360" w:lineRule="auto"/>
        <w:ind w:firstLine="640" w:firstLineChars="200"/>
        <w:textAlignment w:val="auto"/>
        <w:rPr>
          <w:rFonts w:eastAsia="仿宋"/>
          <w:sz w:val="32"/>
          <w:szCs w:val="32"/>
        </w:rPr>
      </w:pPr>
      <w:r>
        <w:rPr>
          <w:rFonts w:eastAsia="仿宋"/>
          <w:sz w:val="32"/>
          <w:szCs w:val="32"/>
        </w:rPr>
        <w:t>效益指标完成情况分析：满分</w:t>
      </w:r>
      <w:r>
        <w:rPr>
          <w:rFonts w:hint="eastAsia" w:eastAsia="仿宋"/>
          <w:sz w:val="32"/>
          <w:szCs w:val="32"/>
          <w:lang w:val="en-US" w:eastAsia="zh-CN"/>
        </w:rPr>
        <w:t>4</w:t>
      </w:r>
      <w:r>
        <w:rPr>
          <w:rFonts w:eastAsia="仿宋"/>
          <w:sz w:val="32"/>
          <w:szCs w:val="32"/>
        </w:rPr>
        <w:t>分，得分</w:t>
      </w:r>
      <w:r>
        <w:rPr>
          <w:rFonts w:hint="eastAsia" w:eastAsia="仿宋"/>
          <w:sz w:val="32"/>
          <w:szCs w:val="32"/>
          <w:lang w:val="en-US" w:eastAsia="zh-CN"/>
        </w:rPr>
        <w:t>4</w:t>
      </w:r>
      <w:r>
        <w:rPr>
          <w:rFonts w:eastAsia="仿宋"/>
          <w:sz w:val="32"/>
          <w:szCs w:val="32"/>
        </w:rPr>
        <w:t>分</w:t>
      </w:r>
    </w:p>
    <w:p>
      <w:pPr>
        <w:keepNext/>
        <w:pageBreakBefore w:val="0"/>
        <w:kinsoku/>
        <w:wordWrap/>
        <w:overflowPunct/>
        <w:topLinePunct w:val="0"/>
        <w:autoSpaceDE/>
        <w:autoSpaceDN/>
        <w:bidi w:val="0"/>
        <w:spacing w:line="360" w:lineRule="auto"/>
        <w:ind w:firstLine="640" w:firstLineChars="200"/>
        <w:textAlignment w:val="auto"/>
        <w:rPr>
          <w:rFonts w:eastAsia="仿宋"/>
          <w:sz w:val="32"/>
          <w:szCs w:val="32"/>
        </w:rPr>
      </w:pPr>
      <w:r>
        <w:rPr>
          <w:rFonts w:hint="eastAsia" w:eastAsia="仿宋"/>
          <w:sz w:val="32"/>
          <w:szCs w:val="32"/>
          <w:lang w:val="en-US" w:eastAsia="zh-CN"/>
        </w:rPr>
        <w:t>①</w:t>
      </w:r>
      <w:r>
        <w:rPr>
          <w:rFonts w:eastAsia="仿宋"/>
          <w:sz w:val="32"/>
          <w:szCs w:val="32"/>
        </w:rPr>
        <w:t>提升物业管理水平</w:t>
      </w:r>
      <w:r>
        <w:rPr>
          <w:rFonts w:hint="eastAsia" w:eastAsia="仿宋"/>
          <w:sz w:val="32"/>
          <w:szCs w:val="32"/>
        </w:rPr>
        <w:t>:</w:t>
      </w:r>
      <w:r>
        <w:rPr>
          <w:rFonts w:eastAsia="仿宋"/>
          <w:sz w:val="32"/>
          <w:szCs w:val="32"/>
        </w:rPr>
        <w:t>满分</w:t>
      </w:r>
      <w:r>
        <w:rPr>
          <w:rFonts w:hint="eastAsia" w:eastAsia="仿宋"/>
          <w:sz w:val="32"/>
          <w:szCs w:val="32"/>
          <w:lang w:val="en-US" w:eastAsia="zh-CN"/>
        </w:rPr>
        <w:t>4</w:t>
      </w:r>
      <w:r>
        <w:rPr>
          <w:rFonts w:eastAsia="仿宋"/>
          <w:sz w:val="32"/>
          <w:szCs w:val="32"/>
        </w:rPr>
        <w:t>分，得分</w:t>
      </w:r>
      <w:r>
        <w:rPr>
          <w:rFonts w:hint="eastAsia" w:eastAsia="仿宋"/>
          <w:sz w:val="32"/>
          <w:szCs w:val="32"/>
          <w:lang w:val="en-US" w:eastAsia="zh-CN"/>
        </w:rPr>
        <w:t>4</w:t>
      </w:r>
      <w:r>
        <w:rPr>
          <w:rFonts w:eastAsia="仿宋"/>
          <w:sz w:val="32"/>
          <w:szCs w:val="32"/>
        </w:rPr>
        <w:t>分</w:t>
      </w:r>
    </w:p>
    <w:p>
      <w:pPr>
        <w:pageBreakBefore w:val="0"/>
        <w:kinsoku/>
        <w:wordWrap/>
        <w:overflowPunct/>
        <w:topLinePunct w:val="0"/>
        <w:autoSpaceDE/>
        <w:autoSpaceDN/>
        <w:bidi w:val="0"/>
        <w:spacing w:line="360" w:lineRule="auto"/>
        <w:ind w:firstLine="640" w:firstLineChars="200"/>
        <w:textAlignment w:val="auto"/>
        <w:rPr>
          <w:rFonts w:hint="eastAsia" w:eastAsia="仿宋"/>
          <w:sz w:val="32"/>
          <w:szCs w:val="32"/>
        </w:rPr>
      </w:pPr>
      <w:r>
        <w:rPr>
          <w:rFonts w:hint="eastAsia" w:eastAsia="仿宋"/>
          <w:sz w:val="32"/>
          <w:szCs w:val="32"/>
        </w:rPr>
        <w:t>目标为有效提升物业管理水平，2</w:t>
      </w:r>
      <w:r>
        <w:rPr>
          <w:rFonts w:eastAsia="仿宋"/>
          <w:sz w:val="32"/>
          <w:szCs w:val="32"/>
        </w:rPr>
        <w:t>022</w:t>
      </w:r>
      <w:r>
        <w:rPr>
          <w:rFonts w:hint="eastAsia" w:eastAsia="仿宋"/>
          <w:sz w:val="32"/>
          <w:szCs w:val="32"/>
        </w:rPr>
        <w:t>年</w:t>
      </w:r>
      <w:r>
        <w:rPr>
          <w:rFonts w:hint="eastAsia" w:eastAsia="仿宋"/>
          <w:sz w:val="32"/>
          <w:szCs w:val="32"/>
          <w:lang w:eastAsia="zh-CN"/>
        </w:rPr>
        <w:t>区住建局</w:t>
      </w:r>
      <w:r>
        <w:rPr>
          <w:rFonts w:hint="eastAsia" w:eastAsia="仿宋"/>
          <w:sz w:val="32"/>
          <w:szCs w:val="32"/>
        </w:rPr>
        <w:t>加大对物业企业的监督和考核力度，积极推动及参与街道组织的联席会议制度，着力解决物业管理矛盾纠纷问题</w:t>
      </w:r>
      <w:r>
        <w:rPr>
          <w:rFonts w:hint="eastAsia" w:eastAsia="仿宋"/>
          <w:sz w:val="32"/>
          <w:szCs w:val="32"/>
          <w:lang w:eastAsia="zh-CN"/>
        </w:rPr>
        <w:t>，</w:t>
      </w:r>
      <w:r>
        <w:rPr>
          <w:rFonts w:hint="eastAsia" w:eastAsia="仿宋"/>
          <w:sz w:val="32"/>
          <w:szCs w:val="32"/>
        </w:rPr>
        <w:t>完成目标。</w:t>
      </w:r>
    </w:p>
    <w:p>
      <w:pPr>
        <w:pStyle w:val="4"/>
        <w:pageBreakBefore w:val="0"/>
        <w:kinsoku/>
        <w:wordWrap/>
        <w:overflowPunct/>
        <w:topLinePunct w:val="0"/>
        <w:autoSpaceDE/>
        <w:autoSpaceDN/>
        <w:bidi w:val="0"/>
        <w:spacing w:before="0" w:after="0" w:line="360" w:lineRule="auto"/>
        <w:ind w:firstLine="640" w:firstLineChars="200"/>
        <w:textAlignment w:val="auto"/>
        <w:rPr>
          <w:rStyle w:val="34"/>
          <w:rFonts w:hint="eastAsia" w:ascii="仿宋" w:hAnsi="仿宋" w:eastAsia="仿宋" w:cs="仿宋"/>
          <w:b w:val="0"/>
          <w:bCs w:val="0"/>
          <w:sz w:val="32"/>
          <w:szCs w:val="32"/>
        </w:rPr>
      </w:pPr>
      <w:r>
        <w:rPr>
          <w:rStyle w:val="34"/>
          <w:rFonts w:hint="eastAsia" w:ascii="仿宋" w:hAnsi="仿宋" w:eastAsia="仿宋" w:cs="仿宋"/>
          <w:b w:val="0"/>
          <w:bCs w:val="0"/>
          <w:sz w:val="32"/>
          <w:szCs w:val="32"/>
        </w:rPr>
        <w:t>（</w:t>
      </w:r>
      <w:r>
        <w:rPr>
          <w:rStyle w:val="34"/>
          <w:rFonts w:hint="eastAsia" w:ascii="仿宋" w:hAnsi="仿宋" w:eastAsia="仿宋" w:cs="仿宋"/>
          <w:b w:val="0"/>
          <w:bCs w:val="0"/>
          <w:sz w:val="32"/>
          <w:szCs w:val="32"/>
          <w:lang w:val="en-US" w:eastAsia="zh-CN"/>
        </w:rPr>
        <w:t>4</w:t>
      </w:r>
      <w:r>
        <w:rPr>
          <w:rStyle w:val="34"/>
          <w:rFonts w:hint="eastAsia" w:ascii="仿宋" w:hAnsi="仿宋" w:eastAsia="仿宋" w:cs="仿宋"/>
          <w:b w:val="0"/>
          <w:bCs w:val="0"/>
          <w:sz w:val="32"/>
          <w:szCs w:val="32"/>
        </w:rPr>
        <w:t>）年度目标</w:t>
      </w:r>
      <w:r>
        <w:rPr>
          <w:rStyle w:val="34"/>
          <w:rFonts w:hint="eastAsia" w:ascii="仿宋" w:hAnsi="仿宋" w:eastAsia="仿宋" w:cs="仿宋"/>
          <w:b w:val="0"/>
          <w:bCs w:val="0"/>
          <w:sz w:val="32"/>
          <w:szCs w:val="32"/>
          <w:lang w:val="en-US" w:eastAsia="zh-CN"/>
        </w:rPr>
        <w:t>4</w:t>
      </w:r>
      <w:r>
        <w:rPr>
          <w:rStyle w:val="34"/>
          <w:rFonts w:hint="eastAsia" w:ascii="仿宋" w:hAnsi="仿宋" w:eastAsia="仿宋" w:cs="仿宋"/>
          <w:b w:val="0"/>
          <w:bCs w:val="0"/>
          <w:sz w:val="32"/>
          <w:szCs w:val="32"/>
        </w:rPr>
        <w:t>：进一步统筹推进各项职能工作，促进全局工作同步协调发展；完善施工图审查制度，加强工程备案档案管理。（满分</w:t>
      </w:r>
      <w:r>
        <w:rPr>
          <w:rStyle w:val="34"/>
          <w:rFonts w:hint="eastAsia" w:ascii="仿宋" w:hAnsi="仿宋" w:eastAsia="仿宋" w:cs="仿宋"/>
          <w:b w:val="0"/>
          <w:bCs w:val="0"/>
          <w:sz w:val="32"/>
          <w:szCs w:val="32"/>
          <w:lang w:val="en-US" w:eastAsia="zh-CN"/>
        </w:rPr>
        <w:t>16</w:t>
      </w:r>
      <w:r>
        <w:rPr>
          <w:rStyle w:val="34"/>
          <w:rFonts w:hint="eastAsia" w:ascii="仿宋" w:hAnsi="仿宋" w:eastAsia="仿宋" w:cs="仿宋"/>
          <w:b w:val="0"/>
          <w:bCs w:val="0"/>
          <w:sz w:val="32"/>
          <w:szCs w:val="32"/>
        </w:rPr>
        <w:t>分，得分</w:t>
      </w:r>
      <w:r>
        <w:rPr>
          <w:rStyle w:val="34"/>
          <w:rFonts w:hint="eastAsia" w:ascii="仿宋" w:hAnsi="仿宋" w:eastAsia="仿宋" w:cs="仿宋"/>
          <w:b w:val="0"/>
          <w:bCs w:val="0"/>
          <w:sz w:val="32"/>
          <w:szCs w:val="32"/>
          <w:lang w:val="en-US" w:eastAsia="zh-CN"/>
        </w:rPr>
        <w:t>16</w:t>
      </w:r>
      <w:r>
        <w:rPr>
          <w:rStyle w:val="34"/>
          <w:rFonts w:hint="eastAsia" w:ascii="仿宋" w:hAnsi="仿宋" w:eastAsia="仿宋" w:cs="仿宋"/>
          <w:b w:val="0"/>
          <w:bCs w:val="0"/>
          <w:sz w:val="32"/>
          <w:szCs w:val="32"/>
        </w:rPr>
        <w:t>分）</w:t>
      </w:r>
    </w:p>
    <w:p>
      <w:pPr>
        <w:bidi w:val="0"/>
        <w:ind w:firstLine="640" w:firstLineChars="200"/>
        <w:rPr>
          <w:rFonts w:hint="eastAsia" w:ascii="Times New Roman" w:hAnsi="Times New Roman" w:eastAsia="仿宋" w:cs="Times New Roman"/>
          <w:kern w:val="2"/>
          <w:sz w:val="32"/>
          <w:szCs w:val="32"/>
          <w:lang w:val="en-US" w:eastAsia="zh-CN" w:bidi="ar-SA"/>
        </w:rPr>
      </w:pPr>
      <w:r>
        <w:rPr>
          <w:rFonts w:hint="eastAsia" w:ascii="Times New Roman" w:hAnsi="Times New Roman" w:eastAsia="仿宋" w:cs="Times New Roman"/>
          <w:kern w:val="2"/>
          <w:sz w:val="32"/>
          <w:szCs w:val="32"/>
          <w:lang w:val="en-US" w:eastAsia="zh-CN" w:bidi="ar-SA"/>
        </w:rPr>
        <w:t>产出指标完成情况分析：满分</w:t>
      </w:r>
      <w:r>
        <w:rPr>
          <w:rFonts w:hint="eastAsia" w:eastAsia="仿宋" w:cs="Times New Roman"/>
          <w:kern w:val="2"/>
          <w:sz w:val="32"/>
          <w:szCs w:val="32"/>
          <w:lang w:val="en-US" w:eastAsia="zh-CN" w:bidi="ar-SA"/>
        </w:rPr>
        <w:t>10</w:t>
      </w:r>
      <w:r>
        <w:rPr>
          <w:rFonts w:hint="eastAsia" w:ascii="Times New Roman" w:hAnsi="Times New Roman" w:eastAsia="仿宋" w:cs="Times New Roman"/>
          <w:kern w:val="2"/>
          <w:sz w:val="32"/>
          <w:szCs w:val="32"/>
          <w:lang w:val="en-US" w:eastAsia="zh-CN" w:bidi="ar-SA"/>
        </w:rPr>
        <w:t>分，得分</w:t>
      </w:r>
      <w:r>
        <w:rPr>
          <w:rFonts w:hint="eastAsia" w:eastAsia="仿宋" w:cs="Times New Roman"/>
          <w:kern w:val="2"/>
          <w:sz w:val="32"/>
          <w:szCs w:val="32"/>
          <w:lang w:val="en-US" w:eastAsia="zh-CN" w:bidi="ar-SA"/>
        </w:rPr>
        <w:t>10</w:t>
      </w:r>
      <w:r>
        <w:rPr>
          <w:rFonts w:hint="eastAsia" w:ascii="Times New Roman" w:hAnsi="Times New Roman" w:eastAsia="仿宋" w:cs="Times New Roman"/>
          <w:kern w:val="2"/>
          <w:sz w:val="32"/>
          <w:szCs w:val="32"/>
          <w:lang w:val="en-US" w:eastAsia="zh-CN" w:bidi="ar-SA"/>
        </w:rPr>
        <w:t xml:space="preserve"> 分</w:t>
      </w:r>
    </w:p>
    <w:p>
      <w:pPr>
        <w:pStyle w:val="7"/>
        <w:pageBreakBefore w:val="0"/>
        <w:numPr>
          <w:ilvl w:val="0"/>
          <w:numId w:val="0"/>
        </w:numPr>
        <w:kinsoku/>
        <w:wordWrap/>
        <w:overflowPunct/>
        <w:topLinePunct w:val="0"/>
        <w:autoSpaceDE/>
        <w:autoSpaceDN/>
        <w:bidi w:val="0"/>
        <w:spacing w:after="0" w:line="360" w:lineRule="auto"/>
        <w:ind w:firstLine="640" w:firstLineChars="200"/>
        <w:textAlignment w:val="auto"/>
        <w:rPr>
          <w:rFonts w:eastAsia="仿宋"/>
          <w:sz w:val="32"/>
          <w:szCs w:val="32"/>
        </w:rPr>
      </w:pPr>
      <w:r>
        <w:rPr>
          <w:rFonts w:hint="eastAsia" w:eastAsia="仿宋"/>
          <w:sz w:val="32"/>
          <w:szCs w:val="32"/>
          <w:lang w:val="en-US" w:eastAsia="zh-CN"/>
        </w:rPr>
        <w:t>①</w:t>
      </w:r>
      <w:r>
        <w:rPr>
          <w:rFonts w:hint="eastAsia" w:eastAsia="仿宋"/>
          <w:sz w:val="32"/>
          <w:szCs w:val="32"/>
        </w:rPr>
        <w:t>施工图审查提升度</w:t>
      </w:r>
      <w:r>
        <w:rPr>
          <w:rFonts w:eastAsia="仿宋"/>
          <w:sz w:val="32"/>
          <w:szCs w:val="32"/>
        </w:rPr>
        <w:t>：满分</w:t>
      </w:r>
      <w:r>
        <w:rPr>
          <w:rFonts w:hint="eastAsia" w:eastAsia="仿宋"/>
          <w:sz w:val="32"/>
          <w:szCs w:val="32"/>
          <w:lang w:val="en-US" w:eastAsia="zh-CN"/>
        </w:rPr>
        <w:t>5</w:t>
      </w:r>
      <w:r>
        <w:rPr>
          <w:rFonts w:eastAsia="仿宋"/>
          <w:sz w:val="32"/>
          <w:szCs w:val="32"/>
        </w:rPr>
        <w:t>分，得分</w:t>
      </w:r>
      <w:r>
        <w:rPr>
          <w:rFonts w:hint="eastAsia" w:eastAsia="仿宋"/>
          <w:sz w:val="32"/>
          <w:szCs w:val="32"/>
          <w:lang w:val="en-US" w:eastAsia="zh-CN"/>
        </w:rPr>
        <w:t>5</w:t>
      </w:r>
      <w:r>
        <w:rPr>
          <w:rFonts w:eastAsia="仿宋"/>
          <w:sz w:val="32"/>
          <w:szCs w:val="32"/>
        </w:rPr>
        <w:t>分</w:t>
      </w:r>
    </w:p>
    <w:p>
      <w:pPr>
        <w:pStyle w:val="7"/>
        <w:pageBreakBefore w:val="0"/>
        <w:kinsoku/>
        <w:wordWrap/>
        <w:overflowPunct/>
        <w:topLinePunct w:val="0"/>
        <w:autoSpaceDE/>
        <w:autoSpaceDN/>
        <w:bidi w:val="0"/>
        <w:spacing w:after="0" w:line="360" w:lineRule="auto"/>
        <w:ind w:firstLine="640" w:firstLineChars="200"/>
        <w:textAlignment w:val="auto"/>
        <w:rPr>
          <w:rFonts w:hint="eastAsia" w:eastAsia="仿宋"/>
          <w:sz w:val="32"/>
          <w:szCs w:val="32"/>
        </w:rPr>
      </w:pPr>
      <w:r>
        <w:rPr>
          <w:rFonts w:hint="eastAsia" w:eastAsia="仿宋"/>
          <w:sz w:val="32"/>
          <w:szCs w:val="32"/>
        </w:rPr>
        <w:t>2022年度</w:t>
      </w:r>
      <w:r>
        <w:rPr>
          <w:rFonts w:hint="eastAsia" w:eastAsia="仿宋"/>
          <w:sz w:val="32"/>
          <w:szCs w:val="32"/>
          <w:lang w:eastAsia="zh-CN"/>
        </w:rPr>
        <w:t>区住建局</w:t>
      </w:r>
      <w:r>
        <w:rPr>
          <w:rFonts w:hint="eastAsia" w:eastAsia="仿宋"/>
          <w:sz w:val="32"/>
          <w:szCs w:val="32"/>
        </w:rPr>
        <w:t>共受理联合图审项目406个，其中建筑工程勘察审查57个、建筑工程设计75个、市政工程勘察11个、市政工程设计48个，其他专项工程215个。2022年按照省厅统一工作部署，实施建设工程联合图审工作全程网办。进一步缩减审查时限，大型工程时限由22个工作日缩减到10个工作日，中小型工程时限由15个工作日缩减到6个工作日；缩减率达100%，完成目标。</w:t>
      </w:r>
    </w:p>
    <w:p>
      <w:pPr>
        <w:pStyle w:val="7"/>
        <w:pageBreakBefore w:val="0"/>
        <w:numPr>
          <w:ilvl w:val="0"/>
          <w:numId w:val="0"/>
        </w:numPr>
        <w:kinsoku/>
        <w:wordWrap/>
        <w:overflowPunct/>
        <w:topLinePunct w:val="0"/>
        <w:autoSpaceDE/>
        <w:autoSpaceDN/>
        <w:bidi w:val="0"/>
        <w:spacing w:after="0" w:line="360" w:lineRule="auto"/>
        <w:ind w:firstLine="640" w:firstLineChars="200"/>
        <w:textAlignment w:val="auto"/>
        <w:rPr>
          <w:rFonts w:eastAsia="仿宋"/>
          <w:sz w:val="32"/>
          <w:szCs w:val="32"/>
        </w:rPr>
      </w:pPr>
      <w:r>
        <w:rPr>
          <w:rFonts w:hint="eastAsia" w:eastAsia="仿宋"/>
          <w:sz w:val="32"/>
          <w:szCs w:val="32"/>
          <w:lang w:val="en-US" w:eastAsia="zh-CN"/>
        </w:rPr>
        <w:t>②城建档案管理合规性</w:t>
      </w:r>
      <w:r>
        <w:rPr>
          <w:rFonts w:eastAsia="仿宋"/>
          <w:sz w:val="32"/>
          <w:szCs w:val="32"/>
        </w:rPr>
        <w:t>：满分</w:t>
      </w:r>
      <w:r>
        <w:rPr>
          <w:rFonts w:hint="eastAsia" w:eastAsia="仿宋"/>
          <w:sz w:val="32"/>
          <w:szCs w:val="32"/>
          <w:lang w:val="en-US" w:eastAsia="zh-CN"/>
        </w:rPr>
        <w:t>5</w:t>
      </w:r>
      <w:r>
        <w:rPr>
          <w:rFonts w:eastAsia="仿宋"/>
          <w:sz w:val="32"/>
          <w:szCs w:val="32"/>
        </w:rPr>
        <w:t>分，得分</w:t>
      </w:r>
      <w:r>
        <w:rPr>
          <w:rFonts w:hint="eastAsia" w:eastAsia="仿宋"/>
          <w:sz w:val="32"/>
          <w:szCs w:val="32"/>
          <w:lang w:val="en-US" w:eastAsia="zh-CN"/>
        </w:rPr>
        <w:t>5</w:t>
      </w:r>
      <w:r>
        <w:rPr>
          <w:rFonts w:eastAsia="仿宋"/>
          <w:sz w:val="32"/>
          <w:szCs w:val="32"/>
        </w:rPr>
        <w:t>分</w:t>
      </w:r>
    </w:p>
    <w:p>
      <w:pPr>
        <w:pStyle w:val="27"/>
        <w:pageBreakBefore w:val="0"/>
        <w:numPr>
          <w:ilvl w:val="0"/>
          <w:numId w:val="0"/>
        </w:numPr>
        <w:kinsoku/>
        <w:wordWrap/>
        <w:overflowPunct/>
        <w:topLinePunct w:val="0"/>
        <w:autoSpaceDE/>
        <w:autoSpaceDN/>
        <w:bidi w:val="0"/>
        <w:spacing w:line="360" w:lineRule="auto"/>
        <w:ind w:firstLine="640" w:firstLineChars="200"/>
        <w:textAlignment w:val="auto"/>
        <w:rPr>
          <w:rFonts w:hint="eastAsia" w:eastAsia="仿宋"/>
          <w:sz w:val="32"/>
          <w:szCs w:val="32"/>
          <w:lang w:val="en-US" w:eastAsia="zh-CN"/>
        </w:rPr>
      </w:pPr>
      <w:r>
        <w:rPr>
          <w:rFonts w:hint="eastAsia" w:eastAsia="仿宋"/>
          <w:sz w:val="32"/>
          <w:szCs w:val="32"/>
          <w:lang w:val="en-US" w:eastAsia="zh-CN"/>
        </w:rPr>
        <w:t>目标为城建档案管理合规，2022年度区住建局每季度进行一次档案核查与整理，确保档案资料保存完整，完成目标。</w:t>
      </w:r>
    </w:p>
    <w:p>
      <w:pPr>
        <w:pageBreakBefore w:val="0"/>
        <w:kinsoku/>
        <w:wordWrap/>
        <w:overflowPunct/>
        <w:topLinePunct w:val="0"/>
        <w:autoSpaceDE/>
        <w:autoSpaceDN/>
        <w:bidi w:val="0"/>
        <w:spacing w:line="360" w:lineRule="auto"/>
        <w:ind w:firstLine="640" w:firstLineChars="200"/>
        <w:textAlignment w:val="auto"/>
        <w:rPr>
          <w:rFonts w:eastAsia="仿宋"/>
          <w:sz w:val="32"/>
          <w:szCs w:val="32"/>
        </w:rPr>
      </w:pPr>
      <w:r>
        <w:rPr>
          <w:rFonts w:eastAsia="仿宋"/>
          <w:sz w:val="32"/>
          <w:szCs w:val="32"/>
        </w:rPr>
        <w:t>效益指标完成情况分析：满分</w:t>
      </w:r>
      <w:r>
        <w:rPr>
          <w:rFonts w:hint="eastAsia" w:eastAsia="仿宋"/>
          <w:sz w:val="32"/>
          <w:szCs w:val="32"/>
          <w:lang w:val="en-US" w:eastAsia="zh-CN"/>
        </w:rPr>
        <w:t>6</w:t>
      </w:r>
      <w:r>
        <w:rPr>
          <w:rFonts w:eastAsia="仿宋"/>
          <w:sz w:val="32"/>
          <w:szCs w:val="32"/>
        </w:rPr>
        <w:t>分，得分</w:t>
      </w:r>
      <w:r>
        <w:rPr>
          <w:rFonts w:hint="eastAsia" w:eastAsia="仿宋"/>
          <w:sz w:val="32"/>
          <w:szCs w:val="32"/>
          <w:lang w:val="en-US" w:eastAsia="zh-CN"/>
        </w:rPr>
        <w:t>6</w:t>
      </w:r>
      <w:r>
        <w:rPr>
          <w:rFonts w:eastAsia="仿宋"/>
          <w:sz w:val="32"/>
          <w:szCs w:val="32"/>
        </w:rPr>
        <w:t>分</w:t>
      </w:r>
    </w:p>
    <w:p>
      <w:pPr>
        <w:pStyle w:val="27"/>
        <w:pageBreakBefore w:val="0"/>
        <w:numPr>
          <w:ilvl w:val="0"/>
          <w:numId w:val="0"/>
        </w:numPr>
        <w:kinsoku/>
        <w:wordWrap/>
        <w:overflowPunct/>
        <w:topLinePunct w:val="0"/>
        <w:autoSpaceDE/>
        <w:autoSpaceDN/>
        <w:bidi w:val="0"/>
        <w:spacing w:line="360" w:lineRule="auto"/>
        <w:ind w:firstLine="640" w:firstLineChars="200"/>
        <w:textAlignment w:val="auto"/>
        <w:rPr>
          <w:rFonts w:eastAsia="仿宋"/>
          <w:sz w:val="32"/>
          <w:szCs w:val="32"/>
        </w:rPr>
      </w:pPr>
      <w:r>
        <w:rPr>
          <w:rFonts w:hint="eastAsia" w:eastAsia="仿宋"/>
          <w:sz w:val="32"/>
          <w:szCs w:val="32"/>
          <w:lang w:val="en-US" w:eastAsia="zh-CN"/>
        </w:rPr>
        <w:t>①</w:t>
      </w:r>
      <w:r>
        <w:rPr>
          <w:rFonts w:hint="eastAsia" w:eastAsia="仿宋"/>
          <w:sz w:val="32"/>
          <w:szCs w:val="32"/>
        </w:rPr>
        <w:t>建设工程竣工验收备案率</w:t>
      </w:r>
      <w:r>
        <w:rPr>
          <w:rFonts w:eastAsia="仿宋"/>
          <w:sz w:val="32"/>
          <w:szCs w:val="32"/>
        </w:rPr>
        <w:t>：满分</w:t>
      </w:r>
      <w:r>
        <w:rPr>
          <w:rFonts w:hint="eastAsia" w:eastAsia="仿宋"/>
          <w:sz w:val="32"/>
          <w:szCs w:val="32"/>
          <w:lang w:val="en-US" w:eastAsia="zh-CN"/>
        </w:rPr>
        <w:t>6</w:t>
      </w:r>
      <w:r>
        <w:rPr>
          <w:rFonts w:eastAsia="仿宋"/>
          <w:sz w:val="32"/>
          <w:szCs w:val="32"/>
        </w:rPr>
        <w:t>分，得分</w:t>
      </w:r>
      <w:r>
        <w:rPr>
          <w:rFonts w:hint="eastAsia" w:eastAsia="仿宋"/>
          <w:sz w:val="32"/>
          <w:szCs w:val="32"/>
          <w:lang w:val="en-US" w:eastAsia="zh-CN"/>
        </w:rPr>
        <w:t>6</w:t>
      </w:r>
      <w:r>
        <w:rPr>
          <w:rFonts w:eastAsia="仿宋"/>
          <w:sz w:val="32"/>
          <w:szCs w:val="32"/>
        </w:rPr>
        <w:t>分</w:t>
      </w:r>
    </w:p>
    <w:p>
      <w:pPr>
        <w:pStyle w:val="27"/>
        <w:pageBreakBefore w:val="0"/>
        <w:numPr>
          <w:ilvl w:val="0"/>
          <w:numId w:val="0"/>
        </w:numPr>
        <w:kinsoku/>
        <w:wordWrap/>
        <w:overflowPunct/>
        <w:topLinePunct w:val="0"/>
        <w:autoSpaceDE/>
        <w:autoSpaceDN/>
        <w:bidi w:val="0"/>
        <w:spacing w:line="360" w:lineRule="auto"/>
        <w:ind w:firstLine="640" w:firstLineChars="200"/>
        <w:textAlignment w:val="auto"/>
        <w:rPr>
          <w:rFonts w:hint="eastAsia" w:eastAsia="仿宋"/>
          <w:sz w:val="32"/>
          <w:szCs w:val="32"/>
        </w:rPr>
      </w:pPr>
      <w:r>
        <w:rPr>
          <w:rFonts w:hint="eastAsia" w:eastAsia="仿宋"/>
          <w:sz w:val="32"/>
          <w:szCs w:val="32"/>
        </w:rPr>
        <w:t>目标为建设工程竣工验收备案率1</w:t>
      </w:r>
      <w:r>
        <w:rPr>
          <w:rFonts w:eastAsia="仿宋"/>
          <w:sz w:val="32"/>
          <w:szCs w:val="32"/>
        </w:rPr>
        <w:t>00%</w:t>
      </w:r>
      <w:r>
        <w:rPr>
          <w:rFonts w:hint="eastAsia" w:eastAsia="仿宋"/>
          <w:sz w:val="32"/>
          <w:szCs w:val="32"/>
        </w:rPr>
        <w:t>，2022年度</w:t>
      </w:r>
      <w:r>
        <w:rPr>
          <w:rFonts w:hint="eastAsia" w:eastAsia="仿宋"/>
          <w:sz w:val="32"/>
          <w:szCs w:val="32"/>
          <w:lang w:eastAsia="zh-CN"/>
        </w:rPr>
        <w:t>区住建局</w:t>
      </w:r>
      <w:r>
        <w:rPr>
          <w:rFonts w:hint="eastAsia" w:eastAsia="仿宋"/>
          <w:sz w:val="32"/>
          <w:szCs w:val="32"/>
        </w:rPr>
        <w:t>对达到验收备案条件的项目全部验收备案，完成目标。</w:t>
      </w:r>
    </w:p>
    <w:p>
      <w:pPr>
        <w:pStyle w:val="4"/>
        <w:pageBreakBefore w:val="0"/>
        <w:kinsoku/>
        <w:wordWrap/>
        <w:overflowPunct/>
        <w:topLinePunct w:val="0"/>
        <w:autoSpaceDE/>
        <w:autoSpaceDN/>
        <w:bidi w:val="0"/>
        <w:spacing w:before="0" w:after="0" w:line="360" w:lineRule="auto"/>
        <w:ind w:firstLine="640" w:firstLineChars="200"/>
        <w:textAlignment w:val="auto"/>
        <w:rPr>
          <w:rStyle w:val="34"/>
          <w:rFonts w:hint="eastAsia" w:ascii="仿宋" w:hAnsi="仿宋" w:eastAsia="仿宋" w:cs="仿宋"/>
          <w:b w:val="0"/>
          <w:bCs w:val="0"/>
          <w:sz w:val="32"/>
          <w:szCs w:val="32"/>
        </w:rPr>
      </w:pPr>
      <w:r>
        <w:rPr>
          <w:rStyle w:val="34"/>
          <w:rFonts w:hint="eastAsia" w:ascii="仿宋" w:hAnsi="仿宋" w:eastAsia="仿宋" w:cs="仿宋"/>
          <w:b w:val="0"/>
          <w:bCs w:val="0"/>
          <w:sz w:val="32"/>
          <w:szCs w:val="32"/>
        </w:rPr>
        <w:t>（</w:t>
      </w:r>
      <w:r>
        <w:rPr>
          <w:rStyle w:val="34"/>
          <w:rFonts w:hint="eastAsia" w:ascii="仿宋" w:hAnsi="仿宋" w:eastAsia="仿宋" w:cs="仿宋"/>
          <w:b w:val="0"/>
          <w:bCs w:val="0"/>
          <w:sz w:val="32"/>
          <w:szCs w:val="32"/>
          <w:lang w:val="en-US" w:eastAsia="zh-CN"/>
        </w:rPr>
        <w:t>5</w:t>
      </w:r>
      <w:r>
        <w:rPr>
          <w:rStyle w:val="34"/>
          <w:rFonts w:hint="eastAsia" w:ascii="仿宋" w:hAnsi="仿宋" w:eastAsia="仿宋" w:cs="仿宋"/>
          <w:b w:val="0"/>
          <w:bCs w:val="0"/>
          <w:sz w:val="32"/>
          <w:szCs w:val="32"/>
        </w:rPr>
        <w:t>）年度目标</w:t>
      </w:r>
      <w:r>
        <w:rPr>
          <w:rStyle w:val="34"/>
          <w:rFonts w:hint="eastAsia" w:ascii="仿宋" w:hAnsi="仿宋" w:eastAsia="仿宋" w:cs="仿宋"/>
          <w:b w:val="0"/>
          <w:bCs w:val="0"/>
          <w:sz w:val="32"/>
          <w:szCs w:val="32"/>
          <w:lang w:val="en-US" w:eastAsia="zh-CN"/>
        </w:rPr>
        <w:t>5</w:t>
      </w:r>
      <w:r>
        <w:rPr>
          <w:rStyle w:val="34"/>
          <w:rFonts w:hint="eastAsia" w:ascii="仿宋" w:hAnsi="仿宋" w:eastAsia="仿宋" w:cs="仿宋"/>
          <w:b w:val="0"/>
          <w:bCs w:val="0"/>
          <w:sz w:val="32"/>
          <w:szCs w:val="32"/>
        </w:rPr>
        <w:t>：进一步加强学习教育，迅速掀起学习宣传贯彻党的精神热潮；强化目标管理，增强创优意识，着力加强政治建设，驰而不息常态化抓正风肃纪，深入推进依法行政（满分</w:t>
      </w:r>
      <w:r>
        <w:rPr>
          <w:rStyle w:val="34"/>
          <w:rFonts w:hint="eastAsia" w:ascii="仿宋" w:hAnsi="仿宋" w:eastAsia="仿宋" w:cs="仿宋"/>
          <w:b w:val="0"/>
          <w:bCs w:val="0"/>
          <w:sz w:val="32"/>
          <w:szCs w:val="32"/>
          <w:lang w:val="en-US" w:eastAsia="zh-CN"/>
        </w:rPr>
        <w:t>16</w:t>
      </w:r>
      <w:r>
        <w:rPr>
          <w:rStyle w:val="34"/>
          <w:rFonts w:hint="eastAsia" w:ascii="仿宋" w:hAnsi="仿宋" w:eastAsia="仿宋" w:cs="仿宋"/>
          <w:b w:val="0"/>
          <w:bCs w:val="0"/>
          <w:sz w:val="32"/>
          <w:szCs w:val="32"/>
        </w:rPr>
        <w:t>分，得分</w:t>
      </w:r>
      <w:r>
        <w:rPr>
          <w:rStyle w:val="34"/>
          <w:rFonts w:hint="eastAsia" w:ascii="仿宋" w:hAnsi="仿宋" w:eastAsia="仿宋" w:cs="仿宋"/>
          <w:b w:val="0"/>
          <w:bCs w:val="0"/>
          <w:sz w:val="32"/>
          <w:szCs w:val="32"/>
          <w:lang w:val="en-US" w:eastAsia="zh-CN"/>
        </w:rPr>
        <w:t>16</w:t>
      </w:r>
      <w:r>
        <w:rPr>
          <w:rStyle w:val="34"/>
          <w:rFonts w:hint="eastAsia" w:ascii="仿宋" w:hAnsi="仿宋" w:eastAsia="仿宋" w:cs="仿宋"/>
          <w:b w:val="0"/>
          <w:bCs w:val="0"/>
          <w:sz w:val="32"/>
          <w:szCs w:val="32"/>
        </w:rPr>
        <w:t>分）</w:t>
      </w:r>
    </w:p>
    <w:p>
      <w:pPr>
        <w:pageBreakBefore w:val="0"/>
        <w:kinsoku/>
        <w:wordWrap/>
        <w:overflowPunct/>
        <w:topLinePunct w:val="0"/>
        <w:autoSpaceDE/>
        <w:autoSpaceDN/>
        <w:bidi w:val="0"/>
        <w:spacing w:line="360" w:lineRule="auto"/>
        <w:ind w:firstLine="640" w:firstLineChars="200"/>
        <w:textAlignment w:val="auto"/>
        <w:rPr>
          <w:rFonts w:eastAsia="仿宋"/>
          <w:sz w:val="32"/>
          <w:szCs w:val="32"/>
        </w:rPr>
      </w:pPr>
      <w:r>
        <w:rPr>
          <w:rFonts w:eastAsia="仿宋"/>
          <w:sz w:val="32"/>
          <w:szCs w:val="32"/>
        </w:rPr>
        <w:t>产出指标完成情况分析：满分</w:t>
      </w:r>
      <w:r>
        <w:rPr>
          <w:rFonts w:hint="eastAsia" w:eastAsia="仿宋"/>
          <w:sz w:val="32"/>
          <w:szCs w:val="32"/>
          <w:lang w:val="en-US" w:eastAsia="zh-CN"/>
        </w:rPr>
        <w:t>8</w:t>
      </w:r>
      <w:r>
        <w:rPr>
          <w:rFonts w:eastAsia="仿宋"/>
          <w:sz w:val="32"/>
          <w:szCs w:val="32"/>
        </w:rPr>
        <w:t>分，得分</w:t>
      </w:r>
      <w:r>
        <w:rPr>
          <w:rFonts w:hint="eastAsia" w:eastAsia="仿宋"/>
          <w:sz w:val="32"/>
          <w:szCs w:val="32"/>
          <w:lang w:val="en-US" w:eastAsia="zh-CN"/>
        </w:rPr>
        <w:t>8</w:t>
      </w:r>
      <w:r>
        <w:rPr>
          <w:rFonts w:eastAsia="仿宋"/>
          <w:sz w:val="32"/>
          <w:szCs w:val="32"/>
        </w:rPr>
        <w:t>分</w:t>
      </w:r>
    </w:p>
    <w:p>
      <w:pPr>
        <w:pStyle w:val="7"/>
        <w:pageBreakBefore w:val="0"/>
        <w:numPr>
          <w:ilvl w:val="0"/>
          <w:numId w:val="2"/>
        </w:numPr>
        <w:kinsoku/>
        <w:wordWrap/>
        <w:overflowPunct/>
        <w:topLinePunct w:val="0"/>
        <w:autoSpaceDE/>
        <w:autoSpaceDN/>
        <w:bidi w:val="0"/>
        <w:spacing w:after="0" w:line="360" w:lineRule="auto"/>
        <w:textAlignment w:val="auto"/>
        <w:rPr>
          <w:rFonts w:eastAsia="仿宋"/>
          <w:sz w:val="32"/>
          <w:szCs w:val="32"/>
        </w:rPr>
      </w:pPr>
      <w:r>
        <w:rPr>
          <w:rFonts w:hint="eastAsia" w:eastAsia="仿宋"/>
          <w:sz w:val="32"/>
          <w:szCs w:val="32"/>
        </w:rPr>
        <w:t>“两学一做”推进度</w:t>
      </w:r>
      <w:r>
        <w:rPr>
          <w:rFonts w:eastAsia="仿宋"/>
          <w:sz w:val="32"/>
          <w:szCs w:val="32"/>
        </w:rPr>
        <w:t>：满分</w:t>
      </w:r>
      <w:r>
        <w:rPr>
          <w:rFonts w:hint="eastAsia" w:eastAsia="仿宋"/>
          <w:sz w:val="32"/>
          <w:szCs w:val="32"/>
          <w:lang w:val="en-US" w:eastAsia="zh-CN"/>
        </w:rPr>
        <w:t>4</w:t>
      </w:r>
      <w:r>
        <w:rPr>
          <w:rFonts w:eastAsia="仿宋"/>
          <w:sz w:val="32"/>
          <w:szCs w:val="32"/>
        </w:rPr>
        <w:t>分，得分</w:t>
      </w:r>
      <w:r>
        <w:rPr>
          <w:rFonts w:hint="eastAsia" w:eastAsia="仿宋"/>
          <w:sz w:val="32"/>
          <w:szCs w:val="32"/>
          <w:lang w:val="en-US" w:eastAsia="zh-CN"/>
        </w:rPr>
        <w:t>4</w:t>
      </w:r>
      <w:r>
        <w:rPr>
          <w:rFonts w:eastAsia="仿宋"/>
          <w:sz w:val="32"/>
          <w:szCs w:val="32"/>
        </w:rPr>
        <w:t>分</w:t>
      </w:r>
    </w:p>
    <w:p>
      <w:pPr>
        <w:pStyle w:val="7"/>
        <w:pageBreakBefore w:val="0"/>
        <w:numPr>
          <w:ilvl w:val="0"/>
          <w:numId w:val="0"/>
        </w:numPr>
        <w:kinsoku/>
        <w:wordWrap/>
        <w:overflowPunct/>
        <w:topLinePunct w:val="0"/>
        <w:autoSpaceDE/>
        <w:autoSpaceDN/>
        <w:bidi w:val="0"/>
        <w:spacing w:after="0" w:line="360" w:lineRule="auto"/>
        <w:ind w:firstLine="640" w:firstLineChars="200"/>
        <w:textAlignment w:val="auto"/>
        <w:rPr>
          <w:rFonts w:eastAsia="仿宋"/>
          <w:sz w:val="32"/>
          <w:szCs w:val="32"/>
        </w:rPr>
      </w:pPr>
      <w:r>
        <w:rPr>
          <w:rFonts w:hint="eastAsia" w:ascii="仿宋_GB2312" w:eastAsia="仿宋_GB2312" w:cs="仿宋_GB2312"/>
          <w:sz w:val="32"/>
          <w:szCs w:val="32"/>
        </w:rPr>
        <w:t>突出思想建党、制度治党，着力加强以作风建设为核心的党的全面建设。围绕既定主题制定党组中心组年度理论学习方案，广泛开启党的二十大精神学习热潮，深入贯彻习近平新时代中国特色社会主义思想和习近平总书记系列重要论述，研讨中央和省市经济工作会议、省第十二次党代会以及各级纪委全会精神，全年召开理论</w:t>
      </w:r>
      <w:r>
        <w:rPr>
          <w:rFonts w:hint="eastAsia" w:ascii="仿宋_GB2312" w:eastAsia="仿宋_GB2312" w:cs="仿宋_GB2312"/>
          <w:sz w:val="32"/>
          <w:szCs w:val="32"/>
          <w:lang w:val="en-US" w:eastAsia="zh-CN"/>
        </w:rPr>
        <w:t>学习</w:t>
      </w:r>
      <w:r>
        <w:rPr>
          <w:rFonts w:hint="eastAsia" w:ascii="仿宋_GB2312" w:eastAsia="仿宋_GB2312" w:cs="仿宋_GB2312"/>
          <w:sz w:val="32"/>
          <w:szCs w:val="32"/>
        </w:rPr>
        <w:t>中心组学习</w:t>
      </w:r>
      <w:r>
        <w:rPr>
          <w:rFonts w:ascii="仿宋_GB2312" w:eastAsia="仿宋_GB2312" w:cs="仿宋_GB2312"/>
          <w:sz w:val="32"/>
          <w:szCs w:val="32"/>
        </w:rPr>
        <w:t>14次，其中特色宣讲报告会2期，理论学习现场调研1次。</w:t>
      </w:r>
    </w:p>
    <w:p>
      <w:pPr>
        <w:pStyle w:val="7"/>
        <w:pageBreakBefore w:val="0"/>
        <w:numPr>
          <w:ilvl w:val="0"/>
          <w:numId w:val="2"/>
        </w:numPr>
        <w:kinsoku/>
        <w:wordWrap/>
        <w:overflowPunct/>
        <w:topLinePunct w:val="0"/>
        <w:autoSpaceDE/>
        <w:autoSpaceDN/>
        <w:bidi w:val="0"/>
        <w:spacing w:after="0" w:line="360" w:lineRule="auto"/>
        <w:textAlignment w:val="auto"/>
        <w:rPr>
          <w:rFonts w:eastAsia="仿宋"/>
          <w:sz w:val="32"/>
          <w:szCs w:val="32"/>
        </w:rPr>
      </w:pPr>
      <w:r>
        <w:rPr>
          <w:rFonts w:hint="eastAsia" w:eastAsia="仿宋"/>
          <w:sz w:val="32"/>
          <w:szCs w:val="32"/>
        </w:rPr>
        <w:t>基层党组织建设</w:t>
      </w:r>
      <w:r>
        <w:rPr>
          <w:rFonts w:eastAsia="仿宋"/>
          <w:sz w:val="32"/>
          <w:szCs w:val="32"/>
        </w:rPr>
        <w:t>：满分</w:t>
      </w:r>
      <w:r>
        <w:rPr>
          <w:rFonts w:hint="eastAsia" w:eastAsia="仿宋"/>
          <w:sz w:val="32"/>
          <w:szCs w:val="32"/>
          <w:lang w:val="en-US" w:eastAsia="zh-CN"/>
        </w:rPr>
        <w:t>4</w:t>
      </w:r>
      <w:r>
        <w:rPr>
          <w:rFonts w:eastAsia="仿宋"/>
          <w:sz w:val="32"/>
          <w:szCs w:val="32"/>
        </w:rPr>
        <w:t>分，得分</w:t>
      </w:r>
      <w:r>
        <w:rPr>
          <w:rFonts w:hint="eastAsia" w:eastAsia="仿宋"/>
          <w:sz w:val="32"/>
          <w:szCs w:val="32"/>
          <w:lang w:val="en-US" w:eastAsia="zh-CN"/>
        </w:rPr>
        <w:t>4</w:t>
      </w:r>
      <w:r>
        <w:rPr>
          <w:rFonts w:eastAsia="仿宋"/>
          <w:sz w:val="32"/>
          <w:szCs w:val="32"/>
        </w:rPr>
        <w:t>分</w:t>
      </w:r>
    </w:p>
    <w:p>
      <w:pPr>
        <w:pStyle w:val="7"/>
        <w:pageBreakBefore w:val="0"/>
        <w:kinsoku/>
        <w:wordWrap/>
        <w:overflowPunct/>
        <w:topLinePunct w:val="0"/>
        <w:autoSpaceDE/>
        <w:autoSpaceDN/>
        <w:bidi w:val="0"/>
        <w:spacing w:after="0" w:line="360" w:lineRule="auto"/>
        <w:ind w:firstLine="640" w:firstLineChars="200"/>
        <w:textAlignment w:val="auto"/>
        <w:rPr>
          <w:rFonts w:hint="eastAsia" w:eastAsia="仿宋"/>
          <w:sz w:val="32"/>
          <w:szCs w:val="32"/>
        </w:rPr>
      </w:pPr>
      <w:r>
        <w:rPr>
          <w:rFonts w:hint="eastAsia" w:ascii="仿宋_GB2312" w:hAnsi="楷体_GB2312" w:eastAsia="仿宋_GB2312" w:cs="楷体_GB2312"/>
          <w:sz w:val="32"/>
          <w:szCs w:val="32"/>
        </w:rPr>
        <w:t>统一学法、用法、守法，成立局法治建设领导小组，</w:t>
      </w:r>
      <w:r>
        <w:rPr>
          <w:rFonts w:hint="eastAsia" w:ascii="仿宋_GB2312" w:hAnsi="Calibri" w:eastAsia="仿宋_GB2312"/>
          <w:sz w:val="32"/>
          <w:szCs w:val="32"/>
        </w:rPr>
        <w:t>超额完成年度法宣在线2400积分学习。</w:t>
      </w:r>
    </w:p>
    <w:p>
      <w:pPr>
        <w:pageBreakBefore w:val="0"/>
        <w:kinsoku/>
        <w:wordWrap/>
        <w:overflowPunct/>
        <w:topLinePunct w:val="0"/>
        <w:autoSpaceDE/>
        <w:autoSpaceDN/>
        <w:bidi w:val="0"/>
        <w:spacing w:line="360" w:lineRule="auto"/>
        <w:ind w:firstLine="640" w:firstLineChars="200"/>
        <w:textAlignment w:val="auto"/>
        <w:rPr>
          <w:rFonts w:eastAsia="仿宋"/>
          <w:sz w:val="32"/>
          <w:szCs w:val="32"/>
        </w:rPr>
      </w:pPr>
      <w:r>
        <w:rPr>
          <w:rFonts w:eastAsia="仿宋"/>
          <w:sz w:val="32"/>
          <w:szCs w:val="32"/>
        </w:rPr>
        <w:t>效益指标完成情况分析：满分</w:t>
      </w:r>
      <w:r>
        <w:rPr>
          <w:rFonts w:hint="eastAsia" w:eastAsia="仿宋"/>
          <w:sz w:val="32"/>
          <w:szCs w:val="32"/>
          <w:lang w:val="en-US" w:eastAsia="zh-CN"/>
        </w:rPr>
        <w:t>8</w:t>
      </w:r>
      <w:r>
        <w:rPr>
          <w:rFonts w:eastAsia="仿宋"/>
          <w:sz w:val="32"/>
          <w:szCs w:val="32"/>
        </w:rPr>
        <w:t>分，得分</w:t>
      </w:r>
      <w:r>
        <w:rPr>
          <w:rFonts w:hint="eastAsia" w:eastAsia="仿宋"/>
          <w:sz w:val="32"/>
          <w:szCs w:val="32"/>
          <w:lang w:val="en-US" w:eastAsia="zh-CN"/>
        </w:rPr>
        <w:t>8</w:t>
      </w:r>
      <w:r>
        <w:rPr>
          <w:rFonts w:eastAsia="仿宋"/>
          <w:sz w:val="32"/>
          <w:szCs w:val="32"/>
        </w:rPr>
        <w:t>分</w:t>
      </w:r>
    </w:p>
    <w:p>
      <w:pPr>
        <w:pStyle w:val="7"/>
        <w:pageBreakBefore w:val="0"/>
        <w:numPr>
          <w:ilvl w:val="0"/>
          <w:numId w:val="3"/>
        </w:numPr>
        <w:kinsoku/>
        <w:wordWrap/>
        <w:overflowPunct/>
        <w:topLinePunct w:val="0"/>
        <w:autoSpaceDE/>
        <w:autoSpaceDN/>
        <w:bidi w:val="0"/>
        <w:spacing w:after="0" w:line="360" w:lineRule="auto"/>
        <w:textAlignment w:val="auto"/>
        <w:rPr>
          <w:rFonts w:eastAsia="仿宋"/>
          <w:sz w:val="32"/>
          <w:szCs w:val="32"/>
        </w:rPr>
      </w:pPr>
      <w:r>
        <w:rPr>
          <w:rFonts w:hint="eastAsia" w:eastAsia="仿宋"/>
          <w:sz w:val="32"/>
          <w:szCs w:val="32"/>
        </w:rPr>
        <w:t>党风党纪问题整改到位率</w:t>
      </w:r>
      <w:r>
        <w:rPr>
          <w:rFonts w:eastAsia="仿宋"/>
          <w:sz w:val="32"/>
          <w:szCs w:val="32"/>
        </w:rPr>
        <w:t>：满分</w:t>
      </w:r>
      <w:r>
        <w:rPr>
          <w:rFonts w:hint="eastAsia" w:eastAsia="仿宋"/>
          <w:sz w:val="32"/>
          <w:szCs w:val="32"/>
          <w:lang w:val="en-US" w:eastAsia="zh-CN"/>
        </w:rPr>
        <w:t>4</w:t>
      </w:r>
      <w:r>
        <w:rPr>
          <w:rFonts w:eastAsia="仿宋"/>
          <w:sz w:val="32"/>
          <w:szCs w:val="32"/>
        </w:rPr>
        <w:t>分，得分</w:t>
      </w:r>
      <w:r>
        <w:rPr>
          <w:rFonts w:hint="eastAsia" w:eastAsia="仿宋"/>
          <w:sz w:val="32"/>
          <w:szCs w:val="32"/>
          <w:lang w:val="en-US" w:eastAsia="zh-CN"/>
        </w:rPr>
        <w:t>4</w:t>
      </w:r>
      <w:r>
        <w:rPr>
          <w:rFonts w:eastAsia="仿宋"/>
          <w:sz w:val="32"/>
          <w:szCs w:val="32"/>
        </w:rPr>
        <w:t>分</w:t>
      </w:r>
    </w:p>
    <w:p>
      <w:pPr>
        <w:pStyle w:val="7"/>
        <w:pageBreakBefore w:val="0"/>
        <w:kinsoku/>
        <w:wordWrap/>
        <w:overflowPunct/>
        <w:topLinePunct w:val="0"/>
        <w:autoSpaceDE/>
        <w:autoSpaceDN/>
        <w:bidi w:val="0"/>
        <w:spacing w:after="0" w:line="360" w:lineRule="auto"/>
        <w:ind w:firstLine="640" w:firstLineChars="200"/>
        <w:textAlignment w:val="auto"/>
        <w:rPr>
          <w:rFonts w:hint="eastAsia" w:eastAsia="仿宋"/>
          <w:sz w:val="32"/>
          <w:szCs w:val="32"/>
        </w:rPr>
      </w:pPr>
      <w:r>
        <w:rPr>
          <w:rFonts w:hint="eastAsia" w:eastAsia="仿宋"/>
          <w:sz w:val="32"/>
          <w:szCs w:val="32"/>
        </w:rPr>
        <w:t>认真落实“两个责任”，严肃把关“三重一大”事项，完善局财务内控内审机制，始终扎紧制度的笼子。坚持挺纪在前，深入开展党风廉政宣传月等活动，</w:t>
      </w:r>
      <w:bookmarkStart w:id="3" w:name="_Hlk123914217"/>
      <w:r>
        <w:rPr>
          <w:rFonts w:hint="eastAsia" w:eastAsia="仿宋"/>
          <w:sz w:val="32"/>
          <w:szCs w:val="32"/>
        </w:rPr>
        <w:t>“清廉机关”建设活动共发布央级媒体8条、省级13条、市级9条宣传报道，依法对3名违法违纪人员分别给予党内处分，完善并落实跟进督办精准监督机制。</w:t>
      </w:r>
      <w:bookmarkEnd w:id="3"/>
    </w:p>
    <w:p>
      <w:pPr>
        <w:pageBreakBefore w:val="0"/>
        <w:kinsoku/>
        <w:wordWrap/>
        <w:overflowPunct/>
        <w:topLinePunct w:val="0"/>
        <w:autoSpaceDE/>
        <w:autoSpaceDN/>
        <w:bidi w:val="0"/>
        <w:spacing w:line="360" w:lineRule="auto"/>
        <w:ind w:firstLine="640" w:firstLineChars="200"/>
        <w:textAlignment w:val="auto"/>
        <w:rPr>
          <w:rFonts w:eastAsia="仿宋"/>
          <w:sz w:val="32"/>
          <w:szCs w:val="32"/>
        </w:rPr>
      </w:pPr>
      <w:r>
        <w:rPr>
          <w:rFonts w:hint="eastAsia" w:ascii="宋体" w:hAnsi="宋体" w:cs="宋体"/>
          <w:sz w:val="32"/>
          <w:szCs w:val="32"/>
        </w:rPr>
        <w:t>②</w:t>
      </w:r>
      <w:r>
        <w:rPr>
          <w:rFonts w:eastAsia="仿宋"/>
          <w:sz w:val="32"/>
          <w:szCs w:val="32"/>
        </w:rPr>
        <w:t>社会综合治理工作办结率：满分</w:t>
      </w:r>
      <w:r>
        <w:rPr>
          <w:rFonts w:hint="eastAsia" w:eastAsia="仿宋"/>
          <w:sz w:val="32"/>
          <w:szCs w:val="32"/>
          <w:lang w:val="en-US" w:eastAsia="zh-CN"/>
        </w:rPr>
        <w:t>4</w:t>
      </w:r>
      <w:r>
        <w:rPr>
          <w:rFonts w:eastAsia="仿宋"/>
          <w:sz w:val="32"/>
          <w:szCs w:val="32"/>
        </w:rPr>
        <w:t>分，得分</w:t>
      </w:r>
      <w:r>
        <w:rPr>
          <w:rFonts w:hint="eastAsia" w:eastAsia="仿宋"/>
          <w:sz w:val="32"/>
          <w:szCs w:val="32"/>
          <w:lang w:val="en-US" w:eastAsia="zh-CN"/>
        </w:rPr>
        <w:t>4</w:t>
      </w:r>
      <w:r>
        <w:rPr>
          <w:rFonts w:eastAsia="仿宋"/>
          <w:sz w:val="32"/>
          <w:szCs w:val="32"/>
        </w:rPr>
        <w:t>分</w:t>
      </w:r>
    </w:p>
    <w:p>
      <w:pPr>
        <w:pageBreakBefore w:val="0"/>
        <w:kinsoku/>
        <w:wordWrap/>
        <w:overflowPunct/>
        <w:topLinePunct w:val="0"/>
        <w:autoSpaceDE/>
        <w:autoSpaceDN/>
        <w:bidi w:val="0"/>
        <w:spacing w:line="360" w:lineRule="auto"/>
        <w:ind w:firstLine="640" w:firstLineChars="200"/>
        <w:textAlignment w:val="auto"/>
      </w:pPr>
      <w:r>
        <w:rPr>
          <w:rFonts w:hint="eastAsia" w:ascii="仿宋_GB2312" w:hAnsi="Calibri" w:eastAsia="仿宋_GB2312"/>
          <w:sz w:val="32"/>
          <w:szCs w:val="32"/>
          <w:lang w:val="en-US" w:eastAsia="zh-CN"/>
        </w:rPr>
        <w:t>2022年度，区住建局</w:t>
      </w:r>
      <w:r>
        <w:rPr>
          <w:rFonts w:hint="eastAsia" w:ascii="仿宋_GB2312" w:hAnsi="Calibri" w:eastAsia="仿宋_GB2312"/>
          <w:sz w:val="32"/>
          <w:szCs w:val="32"/>
        </w:rPr>
        <w:t>积极</w:t>
      </w:r>
      <w:r>
        <w:rPr>
          <w:rFonts w:hint="eastAsia" w:ascii="仿宋_GB2312" w:hAnsi="仿宋_GB2312" w:eastAsia="仿宋_GB2312" w:cs="仿宋_GB2312"/>
          <w:sz w:val="32"/>
          <w:szCs w:val="32"/>
        </w:rPr>
        <w:t>化解群众信访难题，稳妥处理工程款拖欠、农民工工资拖欠、延期交房等投诉咨询问题，</w:t>
      </w:r>
      <w:bookmarkStart w:id="4" w:name="_Hlk123895724"/>
      <w:r>
        <w:rPr>
          <w:rFonts w:hint="eastAsia" w:ascii="仿宋_GB2312" w:hAnsi="仿宋_GB2312" w:eastAsia="仿宋_GB2312" w:cs="仿宋_GB2312"/>
          <w:sz w:val="32"/>
          <w:szCs w:val="32"/>
        </w:rPr>
        <w:t>稳控群访人员，受理、接待信访投诉案件44989件</w:t>
      </w:r>
      <w:r>
        <w:rPr>
          <w:rFonts w:ascii="仿宋_GB2312" w:hAnsi="仿宋_GB2312" w:eastAsia="仿宋_GB2312" w:cs="仿宋_GB2312"/>
          <w:sz w:val="32"/>
          <w:szCs w:val="32"/>
        </w:rPr>
        <w:t>，回复率100%</w:t>
      </w:r>
      <w:r>
        <w:rPr>
          <w:rFonts w:hint="eastAsia" w:ascii="仿宋_GB2312" w:hAnsi="仿宋_GB2312" w:eastAsia="仿宋_GB2312" w:cs="仿宋_GB2312"/>
          <w:sz w:val="32"/>
          <w:szCs w:val="32"/>
        </w:rPr>
        <w:t>。</w:t>
      </w:r>
      <w:bookmarkEnd w:id="4"/>
    </w:p>
    <w:p>
      <w:pPr>
        <w:pageBreakBefore w:val="0"/>
        <w:widowControl/>
        <w:numPr>
          <w:ilvl w:val="0"/>
          <w:numId w:val="4"/>
        </w:numPr>
        <w:kinsoku/>
        <w:wordWrap/>
        <w:overflowPunct/>
        <w:topLinePunct w:val="0"/>
        <w:autoSpaceDE/>
        <w:autoSpaceDN/>
        <w:bidi w:val="0"/>
        <w:spacing w:line="360" w:lineRule="auto"/>
        <w:ind w:firstLine="643" w:firstLineChars="200"/>
        <w:jc w:val="left"/>
        <w:textAlignment w:val="auto"/>
        <w:outlineLvl w:val="1"/>
        <w:rPr>
          <w:rFonts w:eastAsia="楷体"/>
          <w:b/>
          <w:bCs/>
          <w:kern w:val="0"/>
          <w:sz w:val="32"/>
          <w:szCs w:val="32"/>
        </w:rPr>
      </w:pPr>
      <w:r>
        <w:rPr>
          <w:rFonts w:hint="eastAsia" w:eastAsia="楷体"/>
          <w:b/>
          <w:bCs/>
          <w:kern w:val="0"/>
          <w:sz w:val="32"/>
          <w:szCs w:val="32"/>
        </w:rPr>
        <w:t>上年度部门整体部门自评结果应用情况</w:t>
      </w:r>
    </w:p>
    <w:p>
      <w:pPr>
        <w:keepNext/>
        <w:spacing w:line="360" w:lineRule="auto"/>
        <w:ind w:firstLine="640" w:firstLineChars="200"/>
        <w:rPr>
          <w:rFonts w:eastAsia="仿宋"/>
          <w:sz w:val="32"/>
          <w:szCs w:val="32"/>
        </w:rPr>
      </w:pPr>
      <w:r>
        <w:rPr>
          <w:rFonts w:hint="eastAsia" w:eastAsia="仿宋"/>
          <w:sz w:val="32"/>
          <w:szCs w:val="32"/>
          <w:lang w:val="en-US" w:eastAsia="zh-CN"/>
        </w:rPr>
        <w:t>区住建局</w:t>
      </w:r>
      <w:r>
        <w:rPr>
          <w:rFonts w:hint="eastAsia" w:eastAsia="仿宋"/>
          <w:sz w:val="32"/>
          <w:szCs w:val="32"/>
        </w:rPr>
        <w:t>上年度实施了部门整体绩效自评并形成了部门整体自评表及部门整体自评报告，本年度较好地应用了上年度绩效自评结果。一是在上年评价的基础上优化了绩效评价指标体系，如根据部门职责和工作重点调整了绩效评价中的数量指标，如将“</w:t>
      </w:r>
      <w:r>
        <w:rPr>
          <w:rFonts w:hint="eastAsia" w:eastAsia="仿宋"/>
          <w:sz w:val="32"/>
          <w:szCs w:val="32"/>
          <w:lang w:val="en-US" w:eastAsia="zh-CN"/>
        </w:rPr>
        <w:t>项目评估工作完成率</w:t>
      </w:r>
      <w:r>
        <w:rPr>
          <w:rFonts w:hint="eastAsia" w:eastAsia="仿宋"/>
          <w:sz w:val="32"/>
          <w:szCs w:val="32"/>
        </w:rPr>
        <w:t>”调整为</w:t>
      </w:r>
      <w:r>
        <w:rPr>
          <w:rFonts w:hint="eastAsia" w:eastAsia="仿宋"/>
          <w:sz w:val="32"/>
          <w:szCs w:val="32"/>
          <w:lang w:eastAsia="zh-CN"/>
        </w:rPr>
        <w:t>“</w:t>
      </w:r>
      <w:r>
        <w:rPr>
          <w:rFonts w:hint="eastAsia" w:eastAsia="仿宋"/>
          <w:sz w:val="32"/>
          <w:szCs w:val="32"/>
          <w:lang w:val="en-US" w:eastAsia="zh-CN"/>
        </w:rPr>
        <w:t>海绵城市建设进度</w:t>
      </w:r>
      <w:r>
        <w:rPr>
          <w:rFonts w:hint="eastAsia" w:eastAsia="仿宋"/>
          <w:sz w:val="32"/>
          <w:szCs w:val="32"/>
          <w:lang w:eastAsia="zh-CN"/>
        </w:rPr>
        <w:t>”</w:t>
      </w:r>
      <w:r>
        <w:rPr>
          <w:rFonts w:hint="eastAsia" w:eastAsia="仿宋"/>
          <w:sz w:val="32"/>
          <w:szCs w:val="32"/>
        </w:rPr>
        <w:t>，使得绩效评价指标体系与工作重点紧密结合，有效督促各项重点工作保质保量按时完成，实现绩效管理工作目标；二是将上年度定性指标加以修正，提升了绩效指标的科学性和合理性，如使得指标考核更符合工作要求。</w:t>
      </w:r>
    </w:p>
    <w:p>
      <w:pPr>
        <w:pageBreakBefore w:val="0"/>
        <w:widowControl/>
        <w:kinsoku/>
        <w:wordWrap/>
        <w:overflowPunct/>
        <w:topLinePunct w:val="0"/>
        <w:autoSpaceDE/>
        <w:autoSpaceDN/>
        <w:bidi w:val="0"/>
        <w:spacing w:line="360" w:lineRule="auto"/>
        <w:ind w:firstLine="643" w:firstLineChars="200"/>
        <w:jc w:val="left"/>
        <w:textAlignment w:val="auto"/>
        <w:outlineLvl w:val="1"/>
        <w:rPr>
          <w:rFonts w:eastAsia="楷体"/>
          <w:b/>
          <w:bCs/>
          <w:kern w:val="0"/>
          <w:sz w:val="32"/>
          <w:szCs w:val="32"/>
        </w:rPr>
      </w:pPr>
      <w:r>
        <w:rPr>
          <w:rFonts w:eastAsia="楷体"/>
          <w:b/>
          <w:bCs/>
          <w:kern w:val="0"/>
          <w:sz w:val="32"/>
          <w:szCs w:val="32"/>
        </w:rPr>
        <w:t>（</w:t>
      </w:r>
      <w:r>
        <w:rPr>
          <w:rFonts w:hint="eastAsia" w:eastAsia="楷体"/>
          <w:b/>
          <w:bCs/>
          <w:kern w:val="0"/>
          <w:sz w:val="32"/>
          <w:szCs w:val="32"/>
        </w:rPr>
        <w:t>五</w:t>
      </w:r>
      <w:r>
        <w:rPr>
          <w:rFonts w:eastAsia="楷体"/>
          <w:b/>
          <w:bCs/>
          <w:kern w:val="0"/>
          <w:sz w:val="32"/>
          <w:szCs w:val="32"/>
        </w:rPr>
        <w:t>）其他佐证材料</w:t>
      </w:r>
    </w:p>
    <w:p>
      <w:pPr>
        <w:keepNext/>
        <w:pageBreakBefore w:val="0"/>
        <w:kinsoku/>
        <w:wordWrap/>
        <w:overflowPunct/>
        <w:topLinePunct w:val="0"/>
        <w:autoSpaceDE/>
        <w:autoSpaceDN/>
        <w:bidi w:val="0"/>
        <w:spacing w:line="360" w:lineRule="auto"/>
        <w:ind w:firstLine="640" w:firstLineChars="200"/>
        <w:textAlignment w:val="auto"/>
        <w:rPr>
          <w:rFonts w:eastAsia="仿宋"/>
          <w:sz w:val="32"/>
          <w:szCs w:val="32"/>
        </w:rPr>
      </w:pPr>
      <w:r>
        <w:rPr>
          <w:rFonts w:eastAsia="仿宋"/>
          <w:sz w:val="32"/>
          <w:szCs w:val="32"/>
        </w:rPr>
        <w:t>无。</w:t>
      </w:r>
    </w:p>
    <w:p>
      <w:pPr>
        <w:pStyle w:val="7"/>
        <w:pageBreakBefore w:val="0"/>
        <w:kinsoku/>
        <w:wordWrap/>
        <w:overflowPunct/>
        <w:topLinePunct w:val="0"/>
        <w:autoSpaceDE/>
        <w:autoSpaceDN/>
        <w:bidi w:val="0"/>
        <w:spacing w:after="0" w:line="360" w:lineRule="auto"/>
        <w:textAlignment w:val="auto"/>
      </w:pPr>
    </w:p>
    <w:p>
      <w:pPr>
        <w:pageBreakBefore w:val="0"/>
        <w:widowControl/>
        <w:kinsoku/>
        <w:wordWrap/>
        <w:overflowPunct/>
        <w:topLinePunct w:val="0"/>
        <w:autoSpaceDE/>
        <w:autoSpaceDN/>
        <w:bidi w:val="0"/>
        <w:spacing w:line="360" w:lineRule="auto"/>
        <w:ind w:firstLine="480"/>
        <w:jc w:val="right"/>
        <w:textAlignment w:val="auto"/>
        <w:rPr>
          <w:rFonts w:eastAsia="仿宋"/>
          <w:sz w:val="32"/>
          <w:szCs w:val="32"/>
        </w:rPr>
      </w:pPr>
      <w:r>
        <w:rPr>
          <w:rFonts w:hint="eastAsia" w:eastAsia="仿宋"/>
          <w:sz w:val="32"/>
          <w:szCs w:val="32"/>
        </w:rPr>
        <w:t>武汉经济技术开发区（汉南区）住房和建设局</w:t>
      </w:r>
    </w:p>
    <w:p>
      <w:pPr>
        <w:pageBreakBefore w:val="0"/>
        <w:shd w:val="clear" w:color="auto" w:fill="FFFFFF" w:themeFill="background1"/>
        <w:kinsoku/>
        <w:wordWrap/>
        <w:overflowPunct/>
        <w:topLinePunct w:val="0"/>
        <w:autoSpaceDE/>
        <w:autoSpaceDN/>
        <w:bidi w:val="0"/>
        <w:spacing w:line="360" w:lineRule="auto"/>
        <w:ind w:firstLine="5760" w:firstLineChars="1800"/>
        <w:jc w:val="left"/>
        <w:textAlignment w:val="auto"/>
        <w:rPr>
          <w:kern w:val="0"/>
          <w:sz w:val="24"/>
        </w:rPr>
      </w:pPr>
      <w:r>
        <w:rPr>
          <w:rFonts w:hint="eastAsia" w:eastAsia="仿宋"/>
          <w:sz w:val="32"/>
          <w:szCs w:val="32"/>
        </w:rPr>
        <w:t>2</w:t>
      </w:r>
      <w:r>
        <w:rPr>
          <w:rFonts w:eastAsia="仿宋"/>
          <w:sz w:val="32"/>
          <w:szCs w:val="32"/>
        </w:rPr>
        <w:t>02</w:t>
      </w:r>
      <w:r>
        <w:rPr>
          <w:rFonts w:hint="eastAsia" w:eastAsia="仿宋"/>
          <w:sz w:val="32"/>
          <w:szCs w:val="32"/>
        </w:rPr>
        <w:t>3</w:t>
      </w:r>
      <w:r>
        <w:rPr>
          <w:rFonts w:eastAsia="仿宋"/>
          <w:sz w:val="32"/>
          <w:szCs w:val="32"/>
        </w:rPr>
        <w:t>年</w:t>
      </w:r>
      <w:r>
        <w:rPr>
          <w:rFonts w:hint="eastAsia" w:eastAsia="仿宋"/>
          <w:sz w:val="32"/>
          <w:szCs w:val="32"/>
        </w:rPr>
        <w:t>4</w:t>
      </w:r>
      <w:r>
        <w:rPr>
          <w:rFonts w:eastAsia="仿宋"/>
          <w:sz w:val="32"/>
          <w:szCs w:val="32"/>
        </w:rPr>
        <w:t>月</w:t>
      </w:r>
      <w:r>
        <w:rPr>
          <w:rFonts w:hint="eastAsia" w:eastAsia="仿宋"/>
          <w:sz w:val="32"/>
          <w:szCs w:val="32"/>
        </w:rPr>
        <w:t>2</w:t>
      </w:r>
      <w:r>
        <w:rPr>
          <w:rFonts w:eastAsia="仿宋"/>
          <w:sz w:val="32"/>
          <w:szCs w:val="32"/>
        </w:rPr>
        <w:t>0日</w:t>
      </w: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Consolas">
    <w:panose1 w:val="020B0609020204030204"/>
    <w:charset w:val="00"/>
    <w:family w:val="auto"/>
    <w:pitch w:val="default"/>
    <w:sig w:usb0="E00006FF" w:usb1="0000FCFF" w:usb2="00000001" w:usb3="00000000" w:csb0="600001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68531558"/>
    </w:sdtPr>
    <w:sdtContent>
      <w:p>
        <w:pPr>
          <w:pStyle w:val="8"/>
          <w:jc w:val="center"/>
        </w:pPr>
        <w:r>
          <w:fldChar w:fldCharType="begin"/>
        </w:r>
        <w:r>
          <w:instrText xml:space="preserve">PAGE   \* MERGEFORMAT</w:instrText>
        </w:r>
        <w:r>
          <w:fldChar w:fldCharType="separate"/>
        </w:r>
        <w:r>
          <w:rPr>
            <w:lang w:val="zh-CN"/>
          </w:rPr>
          <w:t>2</w:t>
        </w:r>
        <w:r>
          <w:fldChar w:fldCharType="end"/>
        </w:r>
      </w:p>
    </w:sdtContent>
  </w:sdt>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9E0815"/>
    <w:multiLevelType w:val="singleLevel"/>
    <w:tmpl w:val="BA9E0815"/>
    <w:lvl w:ilvl="0" w:tentative="0">
      <w:start w:val="4"/>
      <w:numFmt w:val="chineseCounting"/>
      <w:suff w:val="nothing"/>
      <w:lvlText w:val="（%1）"/>
      <w:lvlJc w:val="left"/>
      <w:rPr>
        <w:rFonts w:hint="eastAsia"/>
      </w:rPr>
    </w:lvl>
  </w:abstractNum>
  <w:abstractNum w:abstractNumId="1">
    <w:nsid w:val="C31D6641"/>
    <w:multiLevelType w:val="singleLevel"/>
    <w:tmpl w:val="C31D6641"/>
    <w:lvl w:ilvl="0" w:tentative="0">
      <w:start w:val="1"/>
      <w:numFmt w:val="upperLetter"/>
      <w:lvlText w:val="%1."/>
      <w:lvlJc w:val="left"/>
      <w:pPr>
        <w:tabs>
          <w:tab w:val="left" w:pos="312"/>
        </w:tabs>
      </w:pPr>
    </w:lvl>
  </w:abstractNum>
  <w:abstractNum w:abstractNumId="2">
    <w:nsid w:val="320702C8"/>
    <w:multiLevelType w:val="multilevel"/>
    <w:tmpl w:val="320702C8"/>
    <w:lvl w:ilvl="0" w:tentative="0">
      <w:start w:val="1"/>
      <w:numFmt w:val="decimalEnclosedCircle"/>
      <w:lvlText w:val="%1"/>
      <w:lvlJc w:val="left"/>
      <w:pPr>
        <w:ind w:left="1000" w:hanging="360"/>
      </w:pPr>
      <w:rPr>
        <w:rFonts w:hint="default" w:ascii="宋体" w:hAnsi="宋体" w:eastAsia="宋体" w:cs="宋体"/>
      </w:rPr>
    </w:lvl>
    <w:lvl w:ilvl="1" w:tentative="0">
      <w:start w:val="1"/>
      <w:numFmt w:val="lowerLetter"/>
      <w:lvlText w:val="%2)"/>
      <w:lvlJc w:val="left"/>
      <w:pPr>
        <w:ind w:left="1520" w:hanging="440"/>
      </w:pPr>
    </w:lvl>
    <w:lvl w:ilvl="2" w:tentative="0">
      <w:start w:val="1"/>
      <w:numFmt w:val="lowerRoman"/>
      <w:lvlText w:val="%3."/>
      <w:lvlJc w:val="right"/>
      <w:pPr>
        <w:ind w:left="1960" w:hanging="440"/>
      </w:pPr>
    </w:lvl>
    <w:lvl w:ilvl="3" w:tentative="0">
      <w:start w:val="1"/>
      <w:numFmt w:val="decimal"/>
      <w:lvlText w:val="%4."/>
      <w:lvlJc w:val="left"/>
      <w:pPr>
        <w:ind w:left="2400" w:hanging="440"/>
      </w:pPr>
    </w:lvl>
    <w:lvl w:ilvl="4" w:tentative="0">
      <w:start w:val="1"/>
      <w:numFmt w:val="lowerLetter"/>
      <w:lvlText w:val="%5)"/>
      <w:lvlJc w:val="left"/>
      <w:pPr>
        <w:ind w:left="2840" w:hanging="440"/>
      </w:pPr>
    </w:lvl>
    <w:lvl w:ilvl="5" w:tentative="0">
      <w:start w:val="1"/>
      <w:numFmt w:val="lowerRoman"/>
      <w:lvlText w:val="%6."/>
      <w:lvlJc w:val="right"/>
      <w:pPr>
        <w:ind w:left="3280" w:hanging="440"/>
      </w:pPr>
    </w:lvl>
    <w:lvl w:ilvl="6" w:tentative="0">
      <w:start w:val="1"/>
      <w:numFmt w:val="decimal"/>
      <w:lvlText w:val="%7."/>
      <w:lvlJc w:val="left"/>
      <w:pPr>
        <w:ind w:left="3720" w:hanging="440"/>
      </w:pPr>
    </w:lvl>
    <w:lvl w:ilvl="7" w:tentative="0">
      <w:start w:val="1"/>
      <w:numFmt w:val="lowerLetter"/>
      <w:lvlText w:val="%8)"/>
      <w:lvlJc w:val="left"/>
      <w:pPr>
        <w:ind w:left="4160" w:hanging="440"/>
      </w:pPr>
    </w:lvl>
    <w:lvl w:ilvl="8" w:tentative="0">
      <w:start w:val="1"/>
      <w:numFmt w:val="lowerRoman"/>
      <w:lvlText w:val="%9."/>
      <w:lvlJc w:val="right"/>
      <w:pPr>
        <w:ind w:left="4600" w:hanging="440"/>
      </w:pPr>
    </w:lvl>
  </w:abstractNum>
  <w:abstractNum w:abstractNumId="3">
    <w:nsid w:val="69221A89"/>
    <w:multiLevelType w:val="multilevel"/>
    <w:tmpl w:val="69221A89"/>
    <w:lvl w:ilvl="0" w:tentative="0">
      <w:start w:val="1"/>
      <w:numFmt w:val="decimalEnclosedCircle"/>
      <w:lvlText w:val="%1"/>
      <w:lvlJc w:val="left"/>
      <w:pPr>
        <w:ind w:left="1000" w:hanging="360"/>
      </w:pPr>
      <w:rPr>
        <w:rFonts w:hint="default" w:ascii="宋体" w:hAnsi="宋体" w:eastAsia="宋体" w:cs="宋体"/>
      </w:rPr>
    </w:lvl>
    <w:lvl w:ilvl="1" w:tentative="0">
      <w:start w:val="1"/>
      <w:numFmt w:val="lowerLetter"/>
      <w:lvlText w:val="%2)"/>
      <w:lvlJc w:val="left"/>
      <w:pPr>
        <w:ind w:left="1520" w:hanging="440"/>
      </w:pPr>
    </w:lvl>
    <w:lvl w:ilvl="2" w:tentative="0">
      <w:start w:val="1"/>
      <w:numFmt w:val="lowerRoman"/>
      <w:lvlText w:val="%3."/>
      <w:lvlJc w:val="right"/>
      <w:pPr>
        <w:ind w:left="1960" w:hanging="440"/>
      </w:pPr>
    </w:lvl>
    <w:lvl w:ilvl="3" w:tentative="0">
      <w:start w:val="1"/>
      <w:numFmt w:val="decimal"/>
      <w:lvlText w:val="%4."/>
      <w:lvlJc w:val="left"/>
      <w:pPr>
        <w:ind w:left="2400" w:hanging="440"/>
      </w:pPr>
    </w:lvl>
    <w:lvl w:ilvl="4" w:tentative="0">
      <w:start w:val="1"/>
      <w:numFmt w:val="lowerLetter"/>
      <w:lvlText w:val="%5)"/>
      <w:lvlJc w:val="left"/>
      <w:pPr>
        <w:ind w:left="2840" w:hanging="440"/>
      </w:pPr>
    </w:lvl>
    <w:lvl w:ilvl="5" w:tentative="0">
      <w:start w:val="1"/>
      <w:numFmt w:val="lowerRoman"/>
      <w:lvlText w:val="%6."/>
      <w:lvlJc w:val="right"/>
      <w:pPr>
        <w:ind w:left="3280" w:hanging="440"/>
      </w:pPr>
    </w:lvl>
    <w:lvl w:ilvl="6" w:tentative="0">
      <w:start w:val="1"/>
      <w:numFmt w:val="decimal"/>
      <w:lvlText w:val="%7."/>
      <w:lvlJc w:val="left"/>
      <w:pPr>
        <w:ind w:left="3720" w:hanging="440"/>
      </w:pPr>
    </w:lvl>
    <w:lvl w:ilvl="7" w:tentative="0">
      <w:start w:val="1"/>
      <w:numFmt w:val="lowerLetter"/>
      <w:lvlText w:val="%8)"/>
      <w:lvlJc w:val="left"/>
      <w:pPr>
        <w:ind w:left="4160" w:hanging="440"/>
      </w:pPr>
    </w:lvl>
    <w:lvl w:ilvl="8" w:tentative="0">
      <w:start w:val="1"/>
      <w:numFmt w:val="lowerRoman"/>
      <w:lvlText w:val="%9."/>
      <w:lvlJc w:val="right"/>
      <w:pPr>
        <w:ind w:left="4600" w:hanging="44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Q4YmI0OTE1YTE2MGJlNjY4YmQ1MTgwYzIxYTM1N2YifQ=="/>
    <w:docVar w:name="KSO_WPS_MARK_KEY" w:val="04accfe3-f1a2-4fc5-853b-31708ed57175"/>
  </w:docVars>
  <w:rsids>
    <w:rsidRoot w:val="60D7382F"/>
    <w:rsid w:val="00036BAA"/>
    <w:rsid w:val="000454D8"/>
    <w:rsid w:val="00047EBA"/>
    <w:rsid w:val="00056179"/>
    <w:rsid w:val="0006756C"/>
    <w:rsid w:val="000B1512"/>
    <w:rsid w:val="000B2C0A"/>
    <w:rsid w:val="000B4121"/>
    <w:rsid w:val="000B46BF"/>
    <w:rsid w:val="000C4B5B"/>
    <w:rsid w:val="000C4C78"/>
    <w:rsid w:val="00126EBB"/>
    <w:rsid w:val="001476D2"/>
    <w:rsid w:val="00154304"/>
    <w:rsid w:val="001640AD"/>
    <w:rsid w:val="0017189B"/>
    <w:rsid w:val="00171CBA"/>
    <w:rsid w:val="001905AB"/>
    <w:rsid w:val="00194529"/>
    <w:rsid w:val="001C1345"/>
    <w:rsid w:val="00222043"/>
    <w:rsid w:val="002316D2"/>
    <w:rsid w:val="0023265A"/>
    <w:rsid w:val="00250CD2"/>
    <w:rsid w:val="002705B8"/>
    <w:rsid w:val="00280810"/>
    <w:rsid w:val="00285937"/>
    <w:rsid w:val="00286B1A"/>
    <w:rsid w:val="003008B3"/>
    <w:rsid w:val="00311F41"/>
    <w:rsid w:val="00321F0F"/>
    <w:rsid w:val="00333E06"/>
    <w:rsid w:val="00354400"/>
    <w:rsid w:val="00357607"/>
    <w:rsid w:val="00360450"/>
    <w:rsid w:val="0038648C"/>
    <w:rsid w:val="003D20A2"/>
    <w:rsid w:val="003F65A5"/>
    <w:rsid w:val="00401439"/>
    <w:rsid w:val="004037E5"/>
    <w:rsid w:val="00413607"/>
    <w:rsid w:val="00413CB8"/>
    <w:rsid w:val="00414D79"/>
    <w:rsid w:val="00431B5E"/>
    <w:rsid w:val="004430F7"/>
    <w:rsid w:val="004728E5"/>
    <w:rsid w:val="00480BA9"/>
    <w:rsid w:val="004A3628"/>
    <w:rsid w:val="004B1997"/>
    <w:rsid w:val="004E536F"/>
    <w:rsid w:val="004E65EF"/>
    <w:rsid w:val="0051474A"/>
    <w:rsid w:val="005155D6"/>
    <w:rsid w:val="00547DE6"/>
    <w:rsid w:val="0057658A"/>
    <w:rsid w:val="00591727"/>
    <w:rsid w:val="00593C5E"/>
    <w:rsid w:val="005A76B9"/>
    <w:rsid w:val="005C1F3C"/>
    <w:rsid w:val="005C6391"/>
    <w:rsid w:val="005E07B2"/>
    <w:rsid w:val="005E6D97"/>
    <w:rsid w:val="00600121"/>
    <w:rsid w:val="00611B49"/>
    <w:rsid w:val="00636A6B"/>
    <w:rsid w:val="00645A42"/>
    <w:rsid w:val="0065087C"/>
    <w:rsid w:val="006610B6"/>
    <w:rsid w:val="00670D1B"/>
    <w:rsid w:val="006941BD"/>
    <w:rsid w:val="006B4325"/>
    <w:rsid w:val="006E24FE"/>
    <w:rsid w:val="006F6A58"/>
    <w:rsid w:val="006F6FED"/>
    <w:rsid w:val="00733B73"/>
    <w:rsid w:val="00750346"/>
    <w:rsid w:val="007530B0"/>
    <w:rsid w:val="00760079"/>
    <w:rsid w:val="00784D10"/>
    <w:rsid w:val="00794FD1"/>
    <w:rsid w:val="007973F7"/>
    <w:rsid w:val="007B16D0"/>
    <w:rsid w:val="007E44D1"/>
    <w:rsid w:val="007F13A0"/>
    <w:rsid w:val="007F5F3C"/>
    <w:rsid w:val="00801A36"/>
    <w:rsid w:val="00817E8E"/>
    <w:rsid w:val="0082701F"/>
    <w:rsid w:val="00830457"/>
    <w:rsid w:val="00884072"/>
    <w:rsid w:val="00885761"/>
    <w:rsid w:val="008A31AD"/>
    <w:rsid w:val="008F6280"/>
    <w:rsid w:val="009005CA"/>
    <w:rsid w:val="00903DDC"/>
    <w:rsid w:val="00934361"/>
    <w:rsid w:val="00940909"/>
    <w:rsid w:val="00965138"/>
    <w:rsid w:val="00967561"/>
    <w:rsid w:val="0097191B"/>
    <w:rsid w:val="009721D6"/>
    <w:rsid w:val="00975CA9"/>
    <w:rsid w:val="009837A1"/>
    <w:rsid w:val="00983A1C"/>
    <w:rsid w:val="0098775D"/>
    <w:rsid w:val="009A5317"/>
    <w:rsid w:val="009E1236"/>
    <w:rsid w:val="009E7406"/>
    <w:rsid w:val="009F47F9"/>
    <w:rsid w:val="00A0074D"/>
    <w:rsid w:val="00A25AC3"/>
    <w:rsid w:val="00A52B81"/>
    <w:rsid w:val="00A638B3"/>
    <w:rsid w:val="00AD6919"/>
    <w:rsid w:val="00AE1CBE"/>
    <w:rsid w:val="00AF4D7E"/>
    <w:rsid w:val="00AF5878"/>
    <w:rsid w:val="00B042C1"/>
    <w:rsid w:val="00B062A8"/>
    <w:rsid w:val="00B12BBD"/>
    <w:rsid w:val="00B545AE"/>
    <w:rsid w:val="00B67577"/>
    <w:rsid w:val="00B74C6C"/>
    <w:rsid w:val="00B95445"/>
    <w:rsid w:val="00BA55F7"/>
    <w:rsid w:val="00BA7DB7"/>
    <w:rsid w:val="00BD0EB8"/>
    <w:rsid w:val="00BE1F73"/>
    <w:rsid w:val="00BE492C"/>
    <w:rsid w:val="00BE5531"/>
    <w:rsid w:val="00C0624D"/>
    <w:rsid w:val="00C128FF"/>
    <w:rsid w:val="00C15AFF"/>
    <w:rsid w:val="00C55824"/>
    <w:rsid w:val="00C65BBA"/>
    <w:rsid w:val="00CB6E39"/>
    <w:rsid w:val="00CD07EF"/>
    <w:rsid w:val="00CE10AF"/>
    <w:rsid w:val="00D06526"/>
    <w:rsid w:val="00D47EC0"/>
    <w:rsid w:val="00D75667"/>
    <w:rsid w:val="00DD533D"/>
    <w:rsid w:val="00DF43B4"/>
    <w:rsid w:val="00E036E0"/>
    <w:rsid w:val="00E11241"/>
    <w:rsid w:val="00E17542"/>
    <w:rsid w:val="00E33439"/>
    <w:rsid w:val="00E33E59"/>
    <w:rsid w:val="00E4191D"/>
    <w:rsid w:val="00E67F00"/>
    <w:rsid w:val="00E80A9C"/>
    <w:rsid w:val="00E94BBB"/>
    <w:rsid w:val="00EC2C3C"/>
    <w:rsid w:val="00EE7F87"/>
    <w:rsid w:val="00F05B5F"/>
    <w:rsid w:val="00F23BAD"/>
    <w:rsid w:val="00F24C85"/>
    <w:rsid w:val="00F25B25"/>
    <w:rsid w:val="00F37C22"/>
    <w:rsid w:val="00F537CB"/>
    <w:rsid w:val="00F713AC"/>
    <w:rsid w:val="00FA0A2C"/>
    <w:rsid w:val="00FA750B"/>
    <w:rsid w:val="00FC0421"/>
    <w:rsid w:val="00FC65B2"/>
    <w:rsid w:val="00FD7962"/>
    <w:rsid w:val="00FD7FA7"/>
    <w:rsid w:val="00FF20C2"/>
    <w:rsid w:val="022D2B9E"/>
    <w:rsid w:val="02A709B0"/>
    <w:rsid w:val="02CC7A93"/>
    <w:rsid w:val="02F0175E"/>
    <w:rsid w:val="03184F4D"/>
    <w:rsid w:val="050250E9"/>
    <w:rsid w:val="056120BB"/>
    <w:rsid w:val="05783BA5"/>
    <w:rsid w:val="05AA5893"/>
    <w:rsid w:val="05F40F41"/>
    <w:rsid w:val="06516FF2"/>
    <w:rsid w:val="06845316"/>
    <w:rsid w:val="06A92BB6"/>
    <w:rsid w:val="06E07B51"/>
    <w:rsid w:val="06EF4D95"/>
    <w:rsid w:val="07317410"/>
    <w:rsid w:val="07566013"/>
    <w:rsid w:val="07726E07"/>
    <w:rsid w:val="082F3B79"/>
    <w:rsid w:val="083555F2"/>
    <w:rsid w:val="0845483C"/>
    <w:rsid w:val="08B87D45"/>
    <w:rsid w:val="08CB1C97"/>
    <w:rsid w:val="08FF3732"/>
    <w:rsid w:val="096A5A4E"/>
    <w:rsid w:val="0B5A2503"/>
    <w:rsid w:val="0BDA09A5"/>
    <w:rsid w:val="0C001E6A"/>
    <w:rsid w:val="0C402565"/>
    <w:rsid w:val="0DB37113"/>
    <w:rsid w:val="0E3338E7"/>
    <w:rsid w:val="0F463CF2"/>
    <w:rsid w:val="0F9A7B79"/>
    <w:rsid w:val="103F3D25"/>
    <w:rsid w:val="107A14E4"/>
    <w:rsid w:val="107A6B0B"/>
    <w:rsid w:val="10C00516"/>
    <w:rsid w:val="10C55A74"/>
    <w:rsid w:val="10EC4950"/>
    <w:rsid w:val="10F13271"/>
    <w:rsid w:val="114A1565"/>
    <w:rsid w:val="115F7CA9"/>
    <w:rsid w:val="117A5ADB"/>
    <w:rsid w:val="11DA2BB0"/>
    <w:rsid w:val="120763A0"/>
    <w:rsid w:val="12344044"/>
    <w:rsid w:val="124D2289"/>
    <w:rsid w:val="133B24C9"/>
    <w:rsid w:val="1381678C"/>
    <w:rsid w:val="15271590"/>
    <w:rsid w:val="15DE3880"/>
    <w:rsid w:val="162954A8"/>
    <w:rsid w:val="16915CF2"/>
    <w:rsid w:val="16FF1D50"/>
    <w:rsid w:val="178500BF"/>
    <w:rsid w:val="18026AD3"/>
    <w:rsid w:val="18361CFF"/>
    <w:rsid w:val="185C4F07"/>
    <w:rsid w:val="185F0057"/>
    <w:rsid w:val="18D93126"/>
    <w:rsid w:val="19D00B4C"/>
    <w:rsid w:val="19F244B5"/>
    <w:rsid w:val="19F44BD3"/>
    <w:rsid w:val="1A0A6B0C"/>
    <w:rsid w:val="1A151A96"/>
    <w:rsid w:val="1A7478D7"/>
    <w:rsid w:val="1A766584"/>
    <w:rsid w:val="1AD61764"/>
    <w:rsid w:val="1B06587B"/>
    <w:rsid w:val="1B5A0309"/>
    <w:rsid w:val="1B7755CC"/>
    <w:rsid w:val="1BAF391D"/>
    <w:rsid w:val="1BBD42A9"/>
    <w:rsid w:val="1BC80EEF"/>
    <w:rsid w:val="1BDB0DA5"/>
    <w:rsid w:val="1C5E6DE2"/>
    <w:rsid w:val="1C7E1897"/>
    <w:rsid w:val="1D180E0F"/>
    <w:rsid w:val="1D946F47"/>
    <w:rsid w:val="1DD844A0"/>
    <w:rsid w:val="2018322A"/>
    <w:rsid w:val="202B6E6D"/>
    <w:rsid w:val="20EF7852"/>
    <w:rsid w:val="21216853"/>
    <w:rsid w:val="21416787"/>
    <w:rsid w:val="2166081F"/>
    <w:rsid w:val="219E2510"/>
    <w:rsid w:val="21D7632C"/>
    <w:rsid w:val="22230156"/>
    <w:rsid w:val="224103EC"/>
    <w:rsid w:val="22552F34"/>
    <w:rsid w:val="225D4A16"/>
    <w:rsid w:val="22C6668D"/>
    <w:rsid w:val="22CF65A5"/>
    <w:rsid w:val="22DE5604"/>
    <w:rsid w:val="23287064"/>
    <w:rsid w:val="234752D2"/>
    <w:rsid w:val="23906782"/>
    <w:rsid w:val="23CF1219"/>
    <w:rsid w:val="23D802E2"/>
    <w:rsid w:val="23DC43AC"/>
    <w:rsid w:val="24385CBB"/>
    <w:rsid w:val="24602DD2"/>
    <w:rsid w:val="24A36856"/>
    <w:rsid w:val="24D110C4"/>
    <w:rsid w:val="24E9619E"/>
    <w:rsid w:val="25186FD6"/>
    <w:rsid w:val="25311187"/>
    <w:rsid w:val="25331893"/>
    <w:rsid w:val="25981399"/>
    <w:rsid w:val="25CD79B1"/>
    <w:rsid w:val="26466B5E"/>
    <w:rsid w:val="26F05DF3"/>
    <w:rsid w:val="27700425"/>
    <w:rsid w:val="27B759F8"/>
    <w:rsid w:val="27FD47F2"/>
    <w:rsid w:val="28D25368"/>
    <w:rsid w:val="28D37A69"/>
    <w:rsid w:val="28F22DCF"/>
    <w:rsid w:val="290919C4"/>
    <w:rsid w:val="29113F9A"/>
    <w:rsid w:val="294211E8"/>
    <w:rsid w:val="29507F08"/>
    <w:rsid w:val="29656152"/>
    <w:rsid w:val="29D0196A"/>
    <w:rsid w:val="29D772FF"/>
    <w:rsid w:val="29E02901"/>
    <w:rsid w:val="29E3139F"/>
    <w:rsid w:val="2A0239A1"/>
    <w:rsid w:val="2A1C0099"/>
    <w:rsid w:val="2A2C67C1"/>
    <w:rsid w:val="2A404D6E"/>
    <w:rsid w:val="2A981ECC"/>
    <w:rsid w:val="2BB313F7"/>
    <w:rsid w:val="2C6D730F"/>
    <w:rsid w:val="2CAB47C4"/>
    <w:rsid w:val="2D575897"/>
    <w:rsid w:val="2D585EE2"/>
    <w:rsid w:val="2D5D03CA"/>
    <w:rsid w:val="2E0F3027"/>
    <w:rsid w:val="2E4D49E9"/>
    <w:rsid w:val="2E57039C"/>
    <w:rsid w:val="2E9D5D96"/>
    <w:rsid w:val="2EA704BC"/>
    <w:rsid w:val="2F5742DD"/>
    <w:rsid w:val="300761B5"/>
    <w:rsid w:val="305A70AA"/>
    <w:rsid w:val="30753451"/>
    <w:rsid w:val="30E95C0A"/>
    <w:rsid w:val="30EB0C9A"/>
    <w:rsid w:val="30F114FE"/>
    <w:rsid w:val="310266B9"/>
    <w:rsid w:val="313D29E6"/>
    <w:rsid w:val="31B96B0A"/>
    <w:rsid w:val="31EF5479"/>
    <w:rsid w:val="321921D0"/>
    <w:rsid w:val="32F10BFB"/>
    <w:rsid w:val="330A3B42"/>
    <w:rsid w:val="330D21EF"/>
    <w:rsid w:val="33D00EDE"/>
    <w:rsid w:val="34FF6A57"/>
    <w:rsid w:val="354D3131"/>
    <w:rsid w:val="35B315DD"/>
    <w:rsid w:val="35BC569D"/>
    <w:rsid w:val="35FC0710"/>
    <w:rsid w:val="3638060A"/>
    <w:rsid w:val="36E23692"/>
    <w:rsid w:val="37241DF8"/>
    <w:rsid w:val="37521453"/>
    <w:rsid w:val="3757357E"/>
    <w:rsid w:val="37664296"/>
    <w:rsid w:val="377842FB"/>
    <w:rsid w:val="37DC1CD5"/>
    <w:rsid w:val="37F93666"/>
    <w:rsid w:val="38983AF8"/>
    <w:rsid w:val="38CB0748"/>
    <w:rsid w:val="38CC76C9"/>
    <w:rsid w:val="38DF09E8"/>
    <w:rsid w:val="38F10B41"/>
    <w:rsid w:val="39CC366F"/>
    <w:rsid w:val="39D4304F"/>
    <w:rsid w:val="39EC58C0"/>
    <w:rsid w:val="3A3C6B59"/>
    <w:rsid w:val="3B2C06A2"/>
    <w:rsid w:val="3B5F11B0"/>
    <w:rsid w:val="3BAF4F36"/>
    <w:rsid w:val="3C0F3A1C"/>
    <w:rsid w:val="3C621581"/>
    <w:rsid w:val="3CF41D50"/>
    <w:rsid w:val="3D1617E6"/>
    <w:rsid w:val="3D7D6168"/>
    <w:rsid w:val="3DC805E4"/>
    <w:rsid w:val="3E0A523D"/>
    <w:rsid w:val="3EBB5429"/>
    <w:rsid w:val="3ECD3D2E"/>
    <w:rsid w:val="3F002A75"/>
    <w:rsid w:val="3F957CBB"/>
    <w:rsid w:val="3FE038B8"/>
    <w:rsid w:val="40C8729B"/>
    <w:rsid w:val="40EF45C3"/>
    <w:rsid w:val="422627F8"/>
    <w:rsid w:val="427B3B7B"/>
    <w:rsid w:val="42AE426E"/>
    <w:rsid w:val="43157F81"/>
    <w:rsid w:val="43241D52"/>
    <w:rsid w:val="43341793"/>
    <w:rsid w:val="446A00B3"/>
    <w:rsid w:val="446C5795"/>
    <w:rsid w:val="449432A7"/>
    <w:rsid w:val="44D7475D"/>
    <w:rsid w:val="451A13C2"/>
    <w:rsid w:val="456E2424"/>
    <w:rsid w:val="463278E8"/>
    <w:rsid w:val="46567E64"/>
    <w:rsid w:val="46731446"/>
    <w:rsid w:val="469862B7"/>
    <w:rsid w:val="46BE307C"/>
    <w:rsid w:val="46FB66C3"/>
    <w:rsid w:val="481A62F5"/>
    <w:rsid w:val="486B24D1"/>
    <w:rsid w:val="48AF7A57"/>
    <w:rsid w:val="490A177E"/>
    <w:rsid w:val="49315F14"/>
    <w:rsid w:val="494C5ED5"/>
    <w:rsid w:val="497E1A8B"/>
    <w:rsid w:val="49DF7360"/>
    <w:rsid w:val="49EF0C49"/>
    <w:rsid w:val="4ABB447D"/>
    <w:rsid w:val="4B9A66EF"/>
    <w:rsid w:val="4C072617"/>
    <w:rsid w:val="4C6206B0"/>
    <w:rsid w:val="4D287DD4"/>
    <w:rsid w:val="4D3C15E2"/>
    <w:rsid w:val="4DC335C9"/>
    <w:rsid w:val="4EA2112B"/>
    <w:rsid w:val="4EDF3700"/>
    <w:rsid w:val="50344E97"/>
    <w:rsid w:val="50744E30"/>
    <w:rsid w:val="50A56CFA"/>
    <w:rsid w:val="50D62980"/>
    <w:rsid w:val="50E41810"/>
    <w:rsid w:val="51B06F6D"/>
    <w:rsid w:val="51CA5EF7"/>
    <w:rsid w:val="51D87DD3"/>
    <w:rsid w:val="51E53C1A"/>
    <w:rsid w:val="51EE0499"/>
    <w:rsid w:val="52152393"/>
    <w:rsid w:val="523F1387"/>
    <w:rsid w:val="52BE7684"/>
    <w:rsid w:val="52F02543"/>
    <w:rsid w:val="53C0183E"/>
    <w:rsid w:val="53EF29C0"/>
    <w:rsid w:val="54203744"/>
    <w:rsid w:val="54211A9F"/>
    <w:rsid w:val="542919A7"/>
    <w:rsid w:val="546B2FE2"/>
    <w:rsid w:val="54AD5DAC"/>
    <w:rsid w:val="54E34E49"/>
    <w:rsid w:val="55182331"/>
    <w:rsid w:val="55F103D3"/>
    <w:rsid w:val="56004CFB"/>
    <w:rsid w:val="5630690A"/>
    <w:rsid w:val="564E52D6"/>
    <w:rsid w:val="5653130A"/>
    <w:rsid w:val="569156D5"/>
    <w:rsid w:val="56C360E7"/>
    <w:rsid w:val="570A3D11"/>
    <w:rsid w:val="574A3B5A"/>
    <w:rsid w:val="57804ACC"/>
    <w:rsid w:val="57BD2FDD"/>
    <w:rsid w:val="57DF6A44"/>
    <w:rsid w:val="57F64A80"/>
    <w:rsid w:val="58162447"/>
    <w:rsid w:val="5818327B"/>
    <w:rsid w:val="58241887"/>
    <w:rsid w:val="585A0F6C"/>
    <w:rsid w:val="588D4BFA"/>
    <w:rsid w:val="58AD2D56"/>
    <w:rsid w:val="58CF5E01"/>
    <w:rsid w:val="5A1B7231"/>
    <w:rsid w:val="5A64366C"/>
    <w:rsid w:val="5A781C22"/>
    <w:rsid w:val="5BB65C6B"/>
    <w:rsid w:val="5C553AF5"/>
    <w:rsid w:val="5C7B7AC4"/>
    <w:rsid w:val="5CEC56BB"/>
    <w:rsid w:val="5CF64305"/>
    <w:rsid w:val="5D125B47"/>
    <w:rsid w:val="5D944335"/>
    <w:rsid w:val="5DAC61D9"/>
    <w:rsid w:val="5DE364EB"/>
    <w:rsid w:val="5E5E1C13"/>
    <w:rsid w:val="5E6E03D6"/>
    <w:rsid w:val="5E700844"/>
    <w:rsid w:val="5EDC2437"/>
    <w:rsid w:val="5EE5420D"/>
    <w:rsid w:val="5FBE36D4"/>
    <w:rsid w:val="603E7A01"/>
    <w:rsid w:val="60877AD2"/>
    <w:rsid w:val="60D7382F"/>
    <w:rsid w:val="60E422D3"/>
    <w:rsid w:val="61077514"/>
    <w:rsid w:val="61245162"/>
    <w:rsid w:val="612F5667"/>
    <w:rsid w:val="636F378B"/>
    <w:rsid w:val="637E523E"/>
    <w:rsid w:val="63865A9E"/>
    <w:rsid w:val="648A6329"/>
    <w:rsid w:val="65091648"/>
    <w:rsid w:val="65FD021C"/>
    <w:rsid w:val="661E36B4"/>
    <w:rsid w:val="662508D1"/>
    <w:rsid w:val="66412746"/>
    <w:rsid w:val="665B1DE3"/>
    <w:rsid w:val="66B26720"/>
    <w:rsid w:val="66C87FCD"/>
    <w:rsid w:val="67026D8A"/>
    <w:rsid w:val="67175ECF"/>
    <w:rsid w:val="671A0BF2"/>
    <w:rsid w:val="671F3030"/>
    <w:rsid w:val="68507404"/>
    <w:rsid w:val="688A6D40"/>
    <w:rsid w:val="68CD1043"/>
    <w:rsid w:val="69034935"/>
    <w:rsid w:val="69651DE9"/>
    <w:rsid w:val="69696D1A"/>
    <w:rsid w:val="69AA5981"/>
    <w:rsid w:val="69B250CD"/>
    <w:rsid w:val="69F736BB"/>
    <w:rsid w:val="6A666083"/>
    <w:rsid w:val="6A68040A"/>
    <w:rsid w:val="6AD65B67"/>
    <w:rsid w:val="6AE81974"/>
    <w:rsid w:val="6C242D70"/>
    <w:rsid w:val="6C3C4DF3"/>
    <w:rsid w:val="6C447F32"/>
    <w:rsid w:val="6CA1395A"/>
    <w:rsid w:val="6CCA1FC2"/>
    <w:rsid w:val="6D142681"/>
    <w:rsid w:val="6D271DE8"/>
    <w:rsid w:val="6D37058F"/>
    <w:rsid w:val="6DB07BF0"/>
    <w:rsid w:val="6DC15C71"/>
    <w:rsid w:val="6DEF2A95"/>
    <w:rsid w:val="6EA30BB1"/>
    <w:rsid w:val="6F6C59FA"/>
    <w:rsid w:val="7040034C"/>
    <w:rsid w:val="70403878"/>
    <w:rsid w:val="70513ACE"/>
    <w:rsid w:val="70BF5715"/>
    <w:rsid w:val="70EB1D37"/>
    <w:rsid w:val="713B524E"/>
    <w:rsid w:val="71A87999"/>
    <w:rsid w:val="73F56385"/>
    <w:rsid w:val="74885AE1"/>
    <w:rsid w:val="75557769"/>
    <w:rsid w:val="75852D6D"/>
    <w:rsid w:val="75B244C2"/>
    <w:rsid w:val="762314B7"/>
    <w:rsid w:val="76A27B39"/>
    <w:rsid w:val="76BB279C"/>
    <w:rsid w:val="77254AFF"/>
    <w:rsid w:val="77515CA7"/>
    <w:rsid w:val="77693AA3"/>
    <w:rsid w:val="79C8388C"/>
    <w:rsid w:val="79D264B9"/>
    <w:rsid w:val="7A226062"/>
    <w:rsid w:val="7A8F76F3"/>
    <w:rsid w:val="7AD702A1"/>
    <w:rsid w:val="7B0B5B50"/>
    <w:rsid w:val="7B2A66D9"/>
    <w:rsid w:val="7B8568AA"/>
    <w:rsid w:val="7C077C55"/>
    <w:rsid w:val="7C1374F9"/>
    <w:rsid w:val="7C2578E9"/>
    <w:rsid w:val="7C4F2043"/>
    <w:rsid w:val="7C7D728A"/>
    <w:rsid w:val="7C8B50A5"/>
    <w:rsid w:val="7D5F2441"/>
    <w:rsid w:val="7DFD18A3"/>
    <w:rsid w:val="7E1F052F"/>
    <w:rsid w:val="7E3A7D16"/>
    <w:rsid w:val="7E582D05"/>
    <w:rsid w:val="7EAF0B77"/>
    <w:rsid w:val="7EDE496A"/>
    <w:rsid w:val="7F0A3FFF"/>
    <w:rsid w:val="7F337F21"/>
    <w:rsid w:val="7FCF4D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link w:val="33"/>
    <w:unhideWhenUsed/>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link w:val="31"/>
    <w:unhideWhenUsed/>
    <w:qFormat/>
    <w:uiPriority w:val="0"/>
    <w:pPr>
      <w:keepNext/>
      <w:keepLines/>
      <w:spacing w:before="260" w:after="260" w:line="416" w:lineRule="auto"/>
      <w:outlineLvl w:val="2"/>
    </w:pPr>
    <w:rPr>
      <w:b/>
      <w:bCs/>
      <w:sz w:val="32"/>
      <w:szCs w:val="32"/>
    </w:rPr>
  </w:style>
  <w:style w:type="paragraph" w:styleId="5">
    <w:name w:val="heading 4"/>
    <w:basedOn w:val="1"/>
    <w:next w:val="1"/>
    <w:link w:val="34"/>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qFormat/>
    <w:uiPriority w:val="0"/>
    <w:pPr>
      <w:keepNext/>
      <w:outlineLvl w:val="4"/>
    </w:pPr>
    <w:rPr>
      <w:rFonts w:ascii="宋体" w:hAnsi="宋体" w:cs="宋体"/>
      <w:b/>
      <w:bCs/>
      <w:sz w:val="24"/>
    </w:rPr>
  </w:style>
  <w:style w:type="character" w:default="1" w:styleId="13">
    <w:name w:val="Default Paragraph Font"/>
    <w:semiHidden/>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table of authorities"/>
    <w:basedOn w:val="1"/>
    <w:next w:val="1"/>
    <w:unhideWhenUsed/>
    <w:qFormat/>
    <w:uiPriority w:val="99"/>
    <w:pPr>
      <w:widowControl w:val="0"/>
      <w:adjustRightInd/>
      <w:snapToGrid/>
      <w:spacing w:after="0"/>
      <w:ind w:left="420"/>
      <w:jc w:val="both"/>
    </w:pPr>
    <w:rPr>
      <w:rFonts w:hint="eastAsia" w:ascii="Arial Unicode MS" w:hAnsi="Arial Unicode MS" w:eastAsia="Arial Unicode MS" w:cs="Times New Roman"/>
      <w:color w:val="000000"/>
      <w:sz w:val="24"/>
      <w:szCs w:val="24"/>
    </w:rPr>
  </w:style>
  <w:style w:type="paragraph" w:styleId="7">
    <w:name w:val="Body Text"/>
    <w:basedOn w:val="1"/>
    <w:link w:val="28"/>
    <w:unhideWhenUsed/>
    <w:qFormat/>
    <w:uiPriority w:val="99"/>
    <w:pPr>
      <w:spacing w:after="120"/>
    </w:pPr>
  </w:style>
  <w:style w:type="paragraph" w:styleId="8">
    <w:name w:val="footer"/>
    <w:basedOn w:val="1"/>
    <w:link w:val="30"/>
    <w:qFormat/>
    <w:uiPriority w:val="99"/>
    <w:pPr>
      <w:tabs>
        <w:tab w:val="center" w:pos="4153"/>
        <w:tab w:val="right" w:pos="8306"/>
      </w:tabs>
      <w:snapToGrid w:val="0"/>
      <w:jc w:val="left"/>
    </w:pPr>
    <w:rPr>
      <w:sz w:val="18"/>
      <w:szCs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0">
    <w:name w:val="Title"/>
    <w:basedOn w:val="1"/>
    <w:next w:val="1"/>
    <w:qFormat/>
    <w:uiPriority w:val="10"/>
    <w:pPr>
      <w:spacing w:line="360" w:lineRule="auto"/>
      <w:ind w:firstLine="200" w:firstLineChars="200"/>
      <w:jc w:val="left"/>
      <w:outlineLvl w:val="3"/>
    </w:pPr>
    <w:rPr>
      <w:rFonts w:ascii="Cambria" w:hAnsi="Cambria" w:eastAsia="仿宋_GB2312"/>
      <w:bCs/>
      <w:sz w:val="24"/>
      <w:szCs w:val="32"/>
    </w:rPr>
  </w:style>
  <w:style w:type="paragraph" w:styleId="11">
    <w:name w:val="Body Text First Indent"/>
    <w:basedOn w:val="7"/>
    <w:link w:val="29"/>
    <w:qFormat/>
    <w:uiPriority w:val="0"/>
    <w:pPr>
      <w:ind w:firstLine="420" w:firstLineChars="100"/>
    </w:pPr>
  </w:style>
  <w:style w:type="character" w:styleId="14">
    <w:name w:val="Strong"/>
    <w:basedOn w:val="13"/>
    <w:qFormat/>
    <w:uiPriority w:val="0"/>
    <w:rPr>
      <w:b/>
      <w:bCs/>
    </w:rPr>
  </w:style>
  <w:style w:type="character" w:styleId="15">
    <w:name w:val="FollowedHyperlink"/>
    <w:basedOn w:val="13"/>
    <w:qFormat/>
    <w:uiPriority w:val="0"/>
    <w:rPr>
      <w:color w:val="252525"/>
      <w:u w:val="none"/>
    </w:rPr>
  </w:style>
  <w:style w:type="character" w:styleId="16">
    <w:name w:val="Emphasis"/>
    <w:basedOn w:val="13"/>
    <w:qFormat/>
    <w:uiPriority w:val="0"/>
  </w:style>
  <w:style w:type="character" w:styleId="17">
    <w:name w:val="HTML Definition"/>
    <w:basedOn w:val="13"/>
    <w:qFormat/>
    <w:uiPriority w:val="0"/>
  </w:style>
  <w:style w:type="character" w:styleId="18">
    <w:name w:val="HTML Variable"/>
    <w:basedOn w:val="13"/>
    <w:qFormat/>
    <w:uiPriority w:val="0"/>
  </w:style>
  <w:style w:type="character" w:styleId="19">
    <w:name w:val="Hyperlink"/>
    <w:basedOn w:val="13"/>
    <w:qFormat/>
    <w:uiPriority w:val="0"/>
    <w:rPr>
      <w:color w:val="252525"/>
      <w:u w:val="none"/>
    </w:rPr>
  </w:style>
  <w:style w:type="character" w:styleId="20">
    <w:name w:val="HTML Code"/>
    <w:basedOn w:val="13"/>
    <w:qFormat/>
    <w:uiPriority w:val="0"/>
    <w:rPr>
      <w:rFonts w:hint="default" w:ascii="Consolas" w:hAnsi="Consolas" w:eastAsia="Consolas" w:cs="Consolas"/>
      <w:color w:val="C7254E"/>
      <w:sz w:val="21"/>
      <w:szCs w:val="21"/>
      <w:shd w:val="clear" w:fill="F9F2F4"/>
    </w:rPr>
  </w:style>
  <w:style w:type="character" w:styleId="21">
    <w:name w:val="HTML Cite"/>
    <w:basedOn w:val="13"/>
    <w:qFormat/>
    <w:uiPriority w:val="0"/>
  </w:style>
  <w:style w:type="character" w:styleId="22">
    <w:name w:val="HTML Keyboard"/>
    <w:basedOn w:val="13"/>
    <w:uiPriority w:val="0"/>
    <w:rPr>
      <w:rFonts w:hint="default" w:ascii="Consolas" w:hAnsi="Consolas" w:eastAsia="Consolas" w:cs="Consolas"/>
      <w:color w:val="FFFFFF"/>
      <w:sz w:val="21"/>
      <w:szCs w:val="21"/>
      <w:shd w:val="clear" w:fill="333333"/>
    </w:rPr>
  </w:style>
  <w:style w:type="character" w:styleId="23">
    <w:name w:val="HTML Sample"/>
    <w:basedOn w:val="13"/>
    <w:qFormat/>
    <w:uiPriority w:val="0"/>
    <w:rPr>
      <w:rFonts w:ascii="Consolas" w:hAnsi="Consolas" w:eastAsia="Consolas" w:cs="Consolas"/>
      <w:sz w:val="21"/>
      <w:szCs w:val="21"/>
    </w:rPr>
  </w:style>
  <w:style w:type="paragraph" w:customStyle="1" w:styleId="24">
    <w:name w:val="Header or footer|2"/>
    <w:basedOn w:val="1"/>
    <w:qFormat/>
    <w:uiPriority w:val="0"/>
    <w:rPr>
      <w:sz w:val="20"/>
      <w:szCs w:val="20"/>
      <w:lang w:val="zh-TW" w:eastAsia="zh-TW" w:bidi="zh-TW"/>
    </w:rPr>
  </w:style>
  <w:style w:type="character" w:customStyle="1" w:styleId="25">
    <w:name w:val="font31"/>
    <w:basedOn w:val="13"/>
    <w:qFormat/>
    <w:uiPriority w:val="0"/>
    <w:rPr>
      <w:rFonts w:hint="eastAsia" w:ascii="仿宋" w:hAnsi="仿宋" w:eastAsia="仿宋" w:cs="仿宋"/>
      <w:color w:val="000000"/>
      <w:sz w:val="20"/>
      <w:szCs w:val="20"/>
      <w:u w:val="none"/>
    </w:rPr>
  </w:style>
  <w:style w:type="character" w:customStyle="1" w:styleId="26">
    <w:name w:val="font41"/>
    <w:basedOn w:val="13"/>
    <w:qFormat/>
    <w:uiPriority w:val="0"/>
    <w:rPr>
      <w:rFonts w:hint="eastAsia" w:ascii="仿宋" w:hAnsi="仿宋" w:eastAsia="仿宋" w:cs="仿宋"/>
      <w:color w:val="000000"/>
      <w:sz w:val="20"/>
      <w:szCs w:val="20"/>
      <w:u w:val="none"/>
    </w:rPr>
  </w:style>
  <w:style w:type="paragraph" w:styleId="27">
    <w:name w:val="List Paragraph"/>
    <w:basedOn w:val="1"/>
    <w:qFormat/>
    <w:uiPriority w:val="99"/>
    <w:pPr>
      <w:ind w:firstLine="420" w:firstLineChars="200"/>
    </w:pPr>
  </w:style>
  <w:style w:type="character" w:customStyle="1" w:styleId="28">
    <w:name w:val="正文文本 字符"/>
    <w:basedOn w:val="13"/>
    <w:link w:val="7"/>
    <w:qFormat/>
    <w:uiPriority w:val="99"/>
    <w:rPr>
      <w:kern w:val="2"/>
      <w:sz w:val="21"/>
      <w:szCs w:val="24"/>
    </w:rPr>
  </w:style>
  <w:style w:type="character" w:customStyle="1" w:styleId="29">
    <w:name w:val="正文文本首行缩进 字符"/>
    <w:basedOn w:val="28"/>
    <w:link w:val="11"/>
    <w:qFormat/>
    <w:uiPriority w:val="0"/>
    <w:rPr>
      <w:kern w:val="2"/>
      <w:sz w:val="21"/>
      <w:szCs w:val="24"/>
    </w:rPr>
  </w:style>
  <w:style w:type="character" w:customStyle="1" w:styleId="30">
    <w:name w:val="页脚 字符"/>
    <w:basedOn w:val="13"/>
    <w:link w:val="8"/>
    <w:qFormat/>
    <w:uiPriority w:val="99"/>
    <w:rPr>
      <w:kern w:val="2"/>
      <w:sz w:val="18"/>
      <w:szCs w:val="18"/>
    </w:rPr>
  </w:style>
  <w:style w:type="character" w:customStyle="1" w:styleId="31">
    <w:name w:val="标题 3 字符"/>
    <w:link w:val="4"/>
    <w:qFormat/>
    <w:uiPriority w:val="0"/>
    <w:rPr>
      <w:b/>
      <w:bCs/>
      <w:sz w:val="32"/>
      <w:szCs w:val="32"/>
    </w:rPr>
  </w:style>
  <w:style w:type="character" w:customStyle="1" w:styleId="32">
    <w:name w:val="tag"/>
    <w:basedOn w:val="13"/>
    <w:qFormat/>
    <w:uiPriority w:val="0"/>
  </w:style>
  <w:style w:type="character" w:customStyle="1" w:styleId="33">
    <w:name w:val="标题 2 字符"/>
    <w:basedOn w:val="13"/>
    <w:link w:val="3"/>
    <w:qFormat/>
    <w:uiPriority w:val="0"/>
    <w:rPr>
      <w:rFonts w:ascii="Arial" w:hAnsi="Arial" w:eastAsia="黑体"/>
      <w:b/>
      <w:kern w:val="2"/>
      <w:sz w:val="32"/>
      <w:szCs w:val="24"/>
    </w:rPr>
  </w:style>
  <w:style w:type="character" w:customStyle="1" w:styleId="34">
    <w:name w:val="标题 4 字符"/>
    <w:basedOn w:val="13"/>
    <w:link w:val="5"/>
    <w:qFormat/>
    <w:uiPriority w:val="0"/>
    <w:rPr>
      <w:rFonts w:asciiTheme="majorHAnsi" w:hAnsiTheme="majorHAnsi" w:eastAsiaTheme="majorEastAsia" w:cstheme="majorBidi"/>
      <w:b/>
      <w:bCs/>
      <w:kern w:val="2"/>
      <w:sz w:val="28"/>
      <w:szCs w:val="28"/>
    </w:rPr>
  </w:style>
  <w:style w:type="paragraph" w:customStyle="1" w:styleId="35">
    <w:name w:val="Default"/>
    <w:qFormat/>
    <w:uiPriority w:val="0"/>
    <w:pPr>
      <w:widowControl w:val="0"/>
      <w:autoSpaceDE w:val="0"/>
      <w:autoSpaceDN w:val="0"/>
      <w:adjustRightInd w:val="0"/>
    </w:pPr>
    <w:rPr>
      <w:rFonts w:ascii="仿宋_GB2312" w:hAnsi="Times New Roman" w:eastAsia="宋体" w:cs="Times New Roman"/>
      <w:color w:val="000000"/>
      <w:sz w:val="24"/>
      <w:szCs w:val="22"/>
      <w:lang w:val="en-US" w:eastAsia="zh-CN" w:bidi="ar-SA"/>
    </w:rPr>
  </w:style>
  <w:style w:type="character" w:customStyle="1" w:styleId="36">
    <w:name w:val="layui-this"/>
    <w:basedOn w:val="13"/>
    <w:qFormat/>
    <w:uiPriority w:val="0"/>
    <w:rPr>
      <w:bdr w:val="single" w:color="EEEEEE" w:sz="6" w:space="0"/>
      <w:shd w:val="clear" w:fill="FFFFFF"/>
    </w:rPr>
  </w:style>
  <w:style w:type="character" w:customStyle="1" w:styleId="37">
    <w:name w:val="first-child"/>
    <w:basedOn w:val="13"/>
    <w:qFormat/>
    <w:uiPriority w:val="0"/>
  </w:style>
  <w:style w:type="character" w:customStyle="1" w:styleId="38">
    <w:name w:val="nth-child(4)"/>
    <w:basedOn w:val="13"/>
    <w:qFormat/>
    <w:uiPriority w:val="0"/>
    <w:rPr>
      <w:vanish/>
    </w:rPr>
  </w:style>
  <w:style w:type="character" w:customStyle="1" w:styleId="39">
    <w:name w:val="nth-child(5)"/>
    <w:basedOn w:val="13"/>
    <w:qFormat/>
    <w:uiPriority w:val="0"/>
    <w:rPr>
      <w:vanish/>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8152</Words>
  <Characters>8880</Characters>
  <Lines>72</Lines>
  <Paragraphs>20</Paragraphs>
  <TotalTime>1</TotalTime>
  <ScaleCrop>false</ScaleCrop>
  <LinksUpToDate>false</LinksUpToDate>
  <CharactersWithSpaces>8937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2023-04-22T06:09:00Z</dcterms:created>
  <dc:creator>Julia</dc:creator>
  <cp:lastModifiedBy>徐茫茫</cp:lastModifiedBy>
  <cp:lastPrinted>2023-04-24T07:35:00Z</cp:lastPrinted>
  <dcterms:modified xsi:type="dcterms:W3CDTF">2025-02-14T02:35:51Z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ABF7CB33DD6E4705B9C3B65432E4E89A</vt:lpwstr>
  </property>
</Properties>
</file>